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Geldium Delinquency Risk</w:t>
        <w:br/>
        <w:t>Predictive Modeling Plan</w:t>
      </w:r>
    </w:p>
    <w:p>
      <w:pPr>
        <w:jc w:val="center"/>
      </w:pPr>
      <w:r>
        <w:rPr>
          <w:i/>
          <w:sz w:val="22"/>
        </w:rPr>
        <w:t>GenAI-assisted model logic, model selection, and evaluation strategy</w:t>
      </w:r>
    </w:p>
    <w:p>
      <w:pPr>
        <w:pStyle w:val="Heading1"/>
      </w:pPr>
      <w:r>
        <w:t>1. Executive summary</w:t>
      </w:r>
    </w:p>
    <w:p>
      <w:r>
        <w:t>The objective is to predict which Geldium customers are most likely to become delinquent so that the Collections team can prioritize proactive outreach. Based on the earlier EDA, the recommended primary approach is interpretable logistic regression, supported by a decision tree as a challenger model. The dataset contains 500 customer records and a binary Delinquent_Account outcome, with 80 positive cases (16%). The model should produce a probability of delinquency rather than only a yes/no label, allowing Geldium to rank customers by risk and choose an intervention threshold that reflects operational capacity and the relative cost of missed versus unnecessary outreach.</w:t>
      </w:r>
    </w:p>
    <w:p>
      <w:pPr>
        <w:pStyle w:val="Heading1"/>
      </w:pPr>
      <w:r>
        <w:t>2. Step 1 — Generated model logic</w:t>
      </w:r>
    </w:p>
    <w:p>
      <w:r>
        <w:t>GenAI was used as a scaffolding assistant to translate the business objective and EDA findings into a structured modeling workflow. The generated concept should be reviewed against the dataset and responsible-modeling requirements before implementation.</w:t>
      </w:r>
    </w:p>
    <w:p>
      <w:pPr>
        <w:pStyle w:val="Heading2"/>
      </w:pPr>
      <w:r>
        <w:t>Recommended model</w:t>
      </w:r>
    </w:p>
    <w:p>
      <w:r>
        <w:t>Use logistic regression as the primary model for binary delinquency prediction. Use a decision tree as a challenger to test whether nonlinear decision rules provide a meaningful performance improvement while remaining interpretable.</w:t>
      </w:r>
    </w:p>
    <w:p>
      <w:pPr>
        <w:pStyle w:val="Heading2"/>
      </w:pPr>
      <w:r>
        <w:t>Top 5 input features</w:t>
      </w:r>
    </w:p>
    <w:tbl>
      <w:tblPr>
        <w:tblStyle w:val="TableGrid"/>
        <w:tblW w:type="auto" w:w="0"/>
        <w:jc w:val="center"/>
        <w:tblLook w:firstColumn="1" w:firstRow="1" w:lastColumn="0" w:lastRow="0" w:noHBand="0" w:noVBand="1" w:val="04A0"/>
      </w:tblPr>
      <w:tblGrid>
        <w:gridCol w:w="5112"/>
        <w:gridCol w:w="5112"/>
      </w:tblGrid>
      <w:tr>
        <w:tc>
          <w:tcPr>
            <w:tcW w:type="dxa" w:w="5112"/>
            <w:shd w:fill="E8EEF7"/>
          </w:tcPr>
          <w:p>
            <w:r>
              <w:rPr>
                <w:b/>
                <w:sz w:val="17"/>
              </w:rPr>
              <w:t>Priority feature</w:t>
            </w:r>
          </w:p>
        </w:tc>
        <w:tc>
          <w:tcPr>
            <w:tcW w:type="dxa" w:w="5112"/>
            <w:shd w:fill="E8EEF7"/>
          </w:tcPr>
          <w:p>
            <w:r>
              <w:rPr>
                <w:b/>
                <w:sz w:val="17"/>
              </w:rPr>
              <w:t>Why it is relevant</w:t>
            </w:r>
          </w:p>
        </w:tc>
      </w:tr>
      <w:tr>
        <w:tc>
          <w:tcPr>
            <w:tcW w:type="dxa" w:w="5112"/>
            <w:vAlign w:val="center"/>
          </w:tcPr>
          <w:p>
            <w:r>
              <w:rPr>
                <w:sz w:val="16"/>
              </w:rPr>
              <w:t>Payment-history behavior</w:t>
            </w:r>
          </w:p>
        </w:tc>
        <w:tc>
          <w:tcPr>
            <w:tcW w:type="dxa" w:w="5112"/>
            <w:vAlign w:val="center"/>
          </w:tcPr>
          <w:p>
            <w:r>
              <w:rPr>
                <w:sz w:val="16"/>
              </w:rPr>
              <w:t>Six monthly statuses can be converted into missed/late counts, recency, and consecutive-payment-issue features.</w:t>
            </w:r>
          </w:p>
        </w:tc>
      </w:tr>
      <w:tr>
        <w:tc>
          <w:tcPr>
            <w:tcW w:type="dxa" w:w="5112"/>
            <w:vAlign w:val="center"/>
          </w:tcPr>
          <w:p>
            <w:r>
              <w:rPr>
                <w:sz w:val="16"/>
              </w:rPr>
              <w:t>Missed_Payments</w:t>
            </w:r>
          </w:p>
        </w:tc>
        <w:tc>
          <w:tcPr>
            <w:tcW w:type="dxa" w:w="5112"/>
            <w:vAlign w:val="center"/>
          </w:tcPr>
          <w:p>
            <w:r>
              <w:rPr>
                <w:sz w:val="16"/>
              </w:rPr>
              <w:t>Direct indicator of repayment difficulty and a natural early warning signal.</w:t>
            </w:r>
          </w:p>
        </w:tc>
      </w:tr>
      <w:tr>
        <w:tc>
          <w:tcPr>
            <w:tcW w:type="dxa" w:w="5112"/>
            <w:vAlign w:val="center"/>
          </w:tcPr>
          <w:p>
            <w:r>
              <w:rPr>
                <w:sz w:val="16"/>
              </w:rPr>
              <w:t>Credit_Utilization</w:t>
            </w:r>
          </w:p>
        </w:tc>
        <w:tc>
          <w:tcPr>
            <w:tcW w:type="dxa" w:w="5112"/>
            <w:vAlign w:val="center"/>
          </w:tcPr>
          <w:p>
            <w:r>
              <w:rPr>
                <w:sz w:val="16"/>
              </w:rPr>
              <w:t>High utilization can indicate financial pressure; EDA identified four values above 100% that require validation.</w:t>
            </w:r>
          </w:p>
        </w:tc>
      </w:tr>
      <w:tr>
        <w:tc>
          <w:tcPr>
            <w:tcW w:type="dxa" w:w="5112"/>
            <w:vAlign w:val="center"/>
          </w:tcPr>
          <w:p>
            <w:r>
              <w:rPr>
                <w:sz w:val="16"/>
              </w:rPr>
              <w:t>Debt_to_Income_Ratio</w:t>
            </w:r>
          </w:p>
        </w:tc>
        <w:tc>
          <w:tcPr>
            <w:tcW w:type="dxa" w:w="5112"/>
            <w:vAlign w:val="center"/>
          </w:tcPr>
          <w:p>
            <w:r>
              <w:rPr>
                <w:sz w:val="16"/>
              </w:rPr>
              <w:t>Higher debt obligations relative to income can reduce repayment capacity.</w:t>
            </w:r>
          </w:p>
        </w:tc>
      </w:tr>
      <w:tr>
        <w:tc>
          <w:tcPr>
            <w:tcW w:type="dxa" w:w="5112"/>
            <w:vAlign w:val="center"/>
          </w:tcPr>
          <w:p>
            <w:r>
              <w:rPr>
                <w:sz w:val="16"/>
              </w:rPr>
              <w:t>Credit_Score</w:t>
            </w:r>
          </w:p>
        </w:tc>
        <w:tc>
          <w:tcPr>
            <w:tcW w:type="dxa" w:w="5112"/>
            <w:vAlign w:val="center"/>
          </w:tcPr>
          <w:p>
            <w:r>
              <w:rPr>
                <w:sz w:val="16"/>
              </w:rPr>
              <w:t>Useful summary of creditworthiness; two records are missing and require explicit treatment.</w:t>
            </w:r>
          </w:p>
        </w:tc>
      </w:tr>
    </w:tbl>
    <w:p>
      <w:pPr>
        <w:spacing w:after="40"/>
      </w:pPr>
    </w:p>
    <w:p>
      <w:r>
        <w:t>Other candidate variables include Income, Loan_Balance, Account_Tenure, Employment_Status, and Credit_Card_Type. Customer_ID should be excluded because it is an identifier. Location should only be included if there is a legitimate business rationale and fairness/privacy review supports its use.</w:t>
      </w:r>
    </w:p>
    <w:p>
      <w:pPr>
        <w:pStyle w:val="Heading2"/>
      </w:pPr>
      <w:r>
        <w:t>End-to-end model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tcPr>
          <w:p>
            <w:r>
              <w:rPr>
                <w:b/>
                <w:sz w:val="17"/>
              </w:rPr>
              <w:t>Stage</w:t>
            </w:r>
          </w:p>
        </w:tc>
        <w:tc>
          <w:tcPr>
            <w:tcW w:type="dxa" w:w="3408"/>
            <w:shd w:fill="E8EEF7"/>
          </w:tcPr>
          <w:p>
            <w:r>
              <w:rPr>
                <w:b/>
                <w:sz w:val="17"/>
              </w:rPr>
              <w:t>Conceptual action</w:t>
            </w:r>
          </w:p>
        </w:tc>
        <w:tc>
          <w:tcPr>
            <w:tcW w:type="dxa" w:w="3408"/>
            <w:shd w:fill="E8EEF7"/>
          </w:tcPr>
          <w:p>
            <w:r>
              <w:rPr>
                <w:b/>
                <w:sz w:val="17"/>
              </w:rPr>
              <w:t>Control/check</w:t>
            </w:r>
          </w:p>
        </w:tc>
      </w:tr>
      <w:tr>
        <w:tc>
          <w:tcPr>
            <w:tcW w:type="dxa" w:w="3408"/>
            <w:vAlign w:val="center"/>
          </w:tcPr>
          <w:p>
            <w:r>
              <w:rPr>
                <w:sz w:val="16"/>
              </w:rPr>
              <w:t>1. Data ingestion</w:t>
            </w:r>
          </w:p>
        </w:tc>
        <w:tc>
          <w:tcPr>
            <w:tcW w:type="dxa" w:w="3408"/>
            <w:vAlign w:val="center"/>
          </w:tcPr>
          <w:p>
            <w:r>
              <w:rPr>
                <w:sz w:val="16"/>
              </w:rPr>
              <w:t>Load customer records and identify the prediction target.</w:t>
            </w:r>
          </w:p>
        </w:tc>
        <w:tc>
          <w:tcPr>
            <w:tcW w:type="dxa" w:w="3408"/>
            <w:vAlign w:val="center"/>
          </w:tcPr>
          <w:p>
            <w:r>
              <w:rPr>
                <w:sz w:val="16"/>
              </w:rPr>
              <w:t>Confirm schema, target definition, record counts, and data types.</w:t>
            </w:r>
          </w:p>
        </w:tc>
      </w:tr>
      <w:tr>
        <w:tc>
          <w:tcPr>
            <w:tcW w:type="dxa" w:w="3408"/>
            <w:vAlign w:val="center"/>
          </w:tcPr>
          <w:p>
            <w:r>
              <w:rPr>
                <w:sz w:val="16"/>
              </w:rPr>
              <w:t>2. Preprocessing</w:t>
            </w:r>
          </w:p>
        </w:tc>
        <w:tc>
          <w:tcPr>
            <w:tcW w:type="dxa" w:w="3408"/>
            <w:vAlign w:val="center"/>
          </w:tcPr>
          <w:p>
            <w:r>
              <w:rPr>
                <w:sz w:val="16"/>
              </w:rPr>
              <w:t>Apply the EDA-approved missing-value and categorical treatments.</w:t>
            </w:r>
          </w:p>
        </w:tc>
        <w:tc>
          <w:tcPr>
            <w:tcW w:type="dxa" w:w="3408"/>
            <w:vAlign w:val="center"/>
          </w:tcPr>
          <w:p>
            <w:r>
              <w:rPr>
                <w:sz w:val="16"/>
              </w:rPr>
              <w:t>Check distributions before/after treatment.</w:t>
            </w:r>
          </w:p>
        </w:tc>
      </w:tr>
      <w:tr>
        <w:tc>
          <w:tcPr>
            <w:tcW w:type="dxa" w:w="3408"/>
            <w:vAlign w:val="center"/>
          </w:tcPr>
          <w:p>
            <w:r>
              <w:rPr>
                <w:sz w:val="16"/>
              </w:rPr>
              <w:t>3. Feature engineering</w:t>
            </w:r>
          </w:p>
        </w:tc>
        <w:tc>
          <w:tcPr>
            <w:tcW w:type="dxa" w:w="3408"/>
            <w:vAlign w:val="center"/>
          </w:tcPr>
          <w:p>
            <w:r>
              <w:rPr>
                <w:sz w:val="16"/>
              </w:rPr>
              <w:t>Create behavioral payment-history features and retain financially meaningful variables.</w:t>
            </w:r>
          </w:p>
        </w:tc>
        <w:tc>
          <w:tcPr>
            <w:tcW w:type="dxa" w:w="3408"/>
            <w:vAlign w:val="center"/>
          </w:tcPr>
          <w:p>
            <w:r>
              <w:rPr>
                <w:sz w:val="16"/>
              </w:rPr>
              <w:t>Check for leakage and prediction-time availability.</w:t>
            </w:r>
          </w:p>
        </w:tc>
      </w:tr>
      <w:tr>
        <w:tc>
          <w:tcPr>
            <w:tcW w:type="dxa" w:w="3408"/>
            <w:vAlign w:val="center"/>
          </w:tcPr>
          <w:p>
            <w:r>
              <w:rPr>
                <w:sz w:val="16"/>
              </w:rPr>
              <w:t>4. Train/test design</w:t>
            </w:r>
          </w:p>
        </w:tc>
        <w:tc>
          <w:tcPr>
            <w:tcW w:type="dxa" w:w="3408"/>
            <w:vAlign w:val="center"/>
          </w:tcPr>
          <w:p>
            <w:r>
              <w:rPr>
                <w:sz w:val="16"/>
              </w:rPr>
              <w:t>Use a stratified train/test split and stratified cross-validation.</w:t>
            </w:r>
          </w:p>
        </w:tc>
        <w:tc>
          <w:tcPr>
            <w:tcW w:type="dxa" w:w="3408"/>
            <w:vAlign w:val="center"/>
          </w:tcPr>
          <w:p>
            <w:r>
              <w:rPr>
                <w:sz w:val="16"/>
              </w:rPr>
              <w:t>Preserve minority-class rate and avoid information leakage.</w:t>
            </w:r>
          </w:p>
        </w:tc>
      </w:tr>
      <w:tr>
        <w:tc>
          <w:tcPr>
            <w:tcW w:type="dxa" w:w="3408"/>
            <w:vAlign w:val="center"/>
          </w:tcPr>
          <w:p>
            <w:r>
              <w:rPr>
                <w:sz w:val="16"/>
              </w:rPr>
              <w:t>5. Model training</w:t>
            </w:r>
          </w:p>
        </w:tc>
        <w:tc>
          <w:tcPr>
            <w:tcW w:type="dxa" w:w="3408"/>
            <w:vAlign w:val="center"/>
          </w:tcPr>
          <w:p>
            <w:r>
              <w:rPr>
                <w:sz w:val="16"/>
              </w:rPr>
              <w:t>Fit logistic regression and tune regularization using cross-validation.</w:t>
            </w:r>
          </w:p>
        </w:tc>
        <w:tc>
          <w:tcPr>
            <w:tcW w:type="dxa" w:w="3408"/>
            <w:vAlign w:val="center"/>
          </w:tcPr>
          <w:p>
            <w:r>
              <w:rPr>
                <w:sz w:val="16"/>
              </w:rPr>
              <w:t>Compare candidate settings empirically.</w:t>
            </w:r>
          </w:p>
        </w:tc>
      </w:tr>
      <w:tr>
        <w:tc>
          <w:tcPr>
            <w:tcW w:type="dxa" w:w="3408"/>
            <w:vAlign w:val="center"/>
          </w:tcPr>
          <w:p>
            <w:r>
              <w:rPr>
                <w:sz w:val="16"/>
              </w:rPr>
              <w:t>6. Risk scoring</w:t>
            </w:r>
          </w:p>
        </w:tc>
        <w:tc>
          <w:tcPr>
            <w:tcW w:type="dxa" w:w="3408"/>
            <w:vAlign w:val="center"/>
          </w:tcPr>
          <w:p>
            <w:r>
              <w:rPr>
                <w:sz w:val="16"/>
              </w:rPr>
              <w:t>Output a 0–1 delinquency probability.</w:t>
            </w:r>
          </w:p>
        </w:tc>
        <w:tc>
          <w:tcPr>
            <w:tcW w:type="dxa" w:w="3408"/>
            <w:vAlign w:val="center"/>
          </w:tcPr>
          <w:p>
            <w:r>
              <w:rPr>
                <w:sz w:val="16"/>
              </w:rPr>
              <w:t>Check calibration and ranking quality.</w:t>
            </w:r>
          </w:p>
        </w:tc>
      </w:tr>
      <w:tr>
        <w:tc>
          <w:tcPr>
            <w:tcW w:type="dxa" w:w="3408"/>
            <w:vAlign w:val="center"/>
          </w:tcPr>
          <w:p>
            <w:r>
              <w:rPr>
                <w:sz w:val="16"/>
              </w:rPr>
              <w:t>7. Thresholding</w:t>
            </w:r>
          </w:p>
        </w:tc>
        <w:tc>
          <w:tcPr>
            <w:tcW w:type="dxa" w:w="3408"/>
            <w:vAlign w:val="center"/>
          </w:tcPr>
          <w:p>
            <w:r>
              <w:rPr>
                <w:sz w:val="16"/>
              </w:rPr>
              <w:t>Convert probabilities into operational risk bands if needed.</w:t>
            </w:r>
          </w:p>
        </w:tc>
        <w:tc>
          <w:tcPr>
            <w:tcW w:type="dxa" w:w="3408"/>
            <w:vAlign w:val="center"/>
          </w:tcPr>
          <w:p>
            <w:r>
              <w:rPr>
                <w:sz w:val="16"/>
              </w:rPr>
              <w:t>Select threshold using precision/recall and Collections capacity.</w:t>
            </w:r>
          </w:p>
        </w:tc>
      </w:tr>
      <w:tr>
        <w:tc>
          <w:tcPr>
            <w:tcW w:type="dxa" w:w="3408"/>
            <w:vAlign w:val="center"/>
          </w:tcPr>
          <w:p>
            <w:r>
              <w:rPr>
                <w:sz w:val="16"/>
              </w:rPr>
              <w:t>8. Evaluation</w:t>
            </w:r>
          </w:p>
        </w:tc>
        <w:tc>
          <w:tcPr>
            <w:tcW w:type="dxa" w:w="3408"/>
            <w:vAlign w:val="center"/>
          </w:tcPr>
          <w:p>
            <w:r>
              <w:rPr>
                <w:sz w:val="16"/>
              </w:rPr>
              <w:t>Assess discrimination, errors, calibration, and fairness.</w:t>
            </w:r>
          </w:p>
        </w:tc>
        <w:tc>
          <w:tcPr>
            <w:tcW w:type="dxa" w:w="3408"/>
            <w:vAlign w:val="center"/>
          </w:tcPr>
          <w:p>
            <w:r>
              <w:rPr>
                <w:sz w:val="16"/>
              </w:rPr>
              <w:t>Use validation and final holdout data.</w:t>
            </w:r>
          </w:p>
        </w:tc>
      </w:tr>
      <w:tr>
        <w:tc>
          <w:tcPr>
            <w:tcW w:type="dxa" w:w="3408"/>
            <w:vAlign w:val="center"/>
          </w:tcPr>
          <w:p>
            <w:r>
              <w:rPr>
                <w:sz w:val="16"/>
              </w:rPr>
              <w:t>9. Deployment decision</w:t>
            </w:r>
          </w:p>
        </w:tc>
        <w:tc>
          <w:tcPr>
            <w:tcW w:type="dxa" w:w="3408"/>
            <w:vAlign w:val="center"/>
          </w:tcPr>
          <w:p>
            <w:r>
              <w:rPr>
                <w:sz w:val="16"/>
              </w:rPr>
              <w:t>Approve only if performance, fairness, stability, and explainability meet criteria.</w:t>
            </w:r>
          </w:p>
        </w:tc>
        <w:tc>
          <w:tcPr>
            <w:tcW w:type="dxa" w:w="3408"/>
            <w:vAlign w:val="center"/>
          </w:tcPr>
          <w:p>
            <w:r>
              <w:rPr>
                <w:sz w:val="16"/>
              </w:rPr>
              <w:t>Document limitations and monitoring plan.</w:t>
            </w:r>
          </w:p>
        </w:tc>
      </w:tr>
    </w:tbl>
    <w:p>
      <w:pPr>
        <w:spacing w:after="40"/>
      </w:pPr>
    </w:p>
    <w:p>
      <w:pPr>
        <w:pStyle w:val="Heading1"/>
      </w:pPr>
      <w:r>
        <w:t>3. Step 2 — Model choice justification</w:t>
      </w:r>
    </w:p>
    <w:p>
      <w:r>
        <w:t>Logistic regression is the best starting point for Geldium because the target is binary, the dataset is relatively small (500 records), and the business requires an interpretable probability of delinquency. The model is efficient, straightforward to deploy and monitor, and its coefficients provide a transparent basis for explaining associations between inputs and predicted risk. A decision tree should still be evaluated as a challenger because it can capture nonlinear patterns and express risk rules intuitively; however, an unrestricted tree can overfit a small dataset. A neural network is not recommended as the initial model because its complexity and lower interpretability are difficult to justify with only 500 observations unless it demonstrates a substantial, validated performance advantage.</w:t>
      </w:r>
    </w:p>
    <w:p>
      <w:pPr>
        <w:pStyle w:val="Heading2"/>
      </w:pPr>
      <w:r>
        <w:t>GenAI role and analyst responsibility</w:t>
      </w:r>
    </w:p>
    <w:tbl>
      <w:tblPr>
        <w:tblStyle w:val="TableGrid"/>
        <w:tblW w:type="auto" w:w="0"/>
        <w:jc w:val="center"/>
        <w:tblLook w:firstColumn="1" w:firstRow="1" w:lastColumn="0" w:lastRow="0" w:noHBand="0" w:noVBand="1" w:val="04A0"/>
      </w:tblPr>
      <w:tblGrid>
        <w:gridCol w:w="5112"/>
        <w:gridCol w:w="5112"/>
      </w:tblGrid>
      <w:tr>
        <w:tc>
          <w:tcPr>
            <w:tcW w:type="dxa" w:w="5112"/>
            <w:shd w:fill="E8EEF7"/>
          </w:tcPr>
          <w:p>
            <w:r>
              <w:rPr>
                <w:b/>
                <w:sz w:val="17"/>
              </w:rPr>
              <w:t>GenAI can help with</w:t>
            </w:r>
          </w:p>
        </w:tc>
        <w:tc>
          <w:tcPr>
            <w:tcW w:type="dxa" w:w="5112"/>
            <w:shd w:fill="E8EEF7"/>
          </w:tcPr>
          <w:p>
            <w:r>
              <w:rPr>
                <w:b/>
                <w:sz w:val="17"/>
              </w:rPr>
              <w:t>Analyst must verify</w:t>
            </w:r>
          </w:p>
        </w:tc>
      </w:tr>
      <w:tr>
        <w:tc>
          <w:tcPr>
            <w:tcW w:type="dxa" w:w="5112"/>
            <w:vAlign w:val="center"/>
          </w:tcPr>
          <w:p>
            <w:r>
              <w:rPr>
                <w:sz w:val="16"/>
              </w:rPr>
              <w:t>Drafting model pseudocode and workflow</w:t>
            </w:r>
          </w:p>
        </w:tc>
        <w:tc>
          <w:tcPr>
            <w:tcW w:type="dxa" w:w="5112"/>
            <w:vAlign w:val="center"/>
          </w:tcPr>
          <w:p>
            <w:r>
              <w:rPr>
                <w:sz w:val="16"/>
              </w:rPr>
              <w:t>Target definition, feature logic, data leakage, preprocessing correctness.</w:t>
            </w:r>
          </w:p>
        </w:tc>
      </w:tr>
      <w:tr>
        <w:tc>
          <w:tcPr>
            <w:tcW w:type="dxa" w:w="5112"/>
            <w:vAlign w:val="center"/>
          </w:tcPr>
          <w:p>
            <w:r>
              <w:rPr>
                <w:sz w:val="16"/>
              </w:rPr>
              <w:t>Suggesting candidate features</w:t>
            </w:r>
          </w:p>
        </w:tc>
        <w:tc>
          <w:tcPr>
            <w:tcW w:type="dxa" w:w="5112"/>
            <w:vAlign w:val="center"/>
          </w:tcPr>
          <w:p>
            <w:r>
              <w:rPr>
                <w:sz w:val="16"/>
              </w:rPr>
              <w:t>Business relevance, statistical evidence, fairness/proxy-risk concerns, prediction-time availability.</w:t>
            </w:r>
          </w:p>
        </w:tc>
      </w:tr>
      <w:tr>
        <w:tc>
          <w:tcPr>
            <w:tcW w:type="dxa" w:w="5112"/>
            <w:vAlign w:val="center"/>
          </w:tcPr>
          <w:p>
            <w:r>
              <w:rPr>
                <w:sz w:val="16"/>
              </w:rPr>
              <w:t>Suggesting hyperparameters</w:t>
            </w:r>
          </w:p>
        </w:tc>
        <w:tc>
          <w:tcPr>
            <w:tcW w:type="dxa" w:w="5112"/>
            <w:vAlign w:val="center"/>
          </w:tcPr>
          <w:p>
            <w:r>
              <w:rPr>
                <w:sz w:val="16"/>
              </w:rPr>
              <w:t>Cross-validation results, overfitting, stability, and reproducibility.</w:t>
            </w:r>
          </w:p>
        </w:tc>
      </w:tr>
      <w:tr>
        <w:tc>
          <w:tcPr>
            <w:tcW w:type="dxa" w:w="5112"/>
            <w:vAlign w:val="center"/>
          </w:tcPr>
          <w:p>
            <w:r>
              <w:rPr>
                <w:sz w:val="16"/>
              </w:rPr>
              <w:t>Drafting evaluation code/metrics</w:t>
            </w:r>
          </w:p>
        </w:tc>
        <w:tc>
          <w:tcPr>
            <w:tcW w:type="dxa" w:w="5112"/>
            <w:vAlign w:val="center"/>
          </w:tcPr>
          <w:p>
            <w:r>
              <w:rPr>
                <w:sz w:val="16"/>
              </w:rPr>
              <w:t>Correct calculations, class imbalance handling, threshold selection, holdout evaluation.</w:t>
            </w:r>
          </w:p>
        </w:tc>
      </w:tr>
      <w:tr>
        <w:tc>
          <w:tcPr>
            <w:tcW w:type="dxa" w:w="5112"/>
            <w:vAlign w:val="center"/>
          </w:tcPr>
          <w:p>
            <w:r>
              <w:rPr>
                <w:sz w:val="16"/>
              </w:rPr>
              <w:t>Generating explanations</w:t>
            </w:r>
          </w:p>
        </w:tc>
        <w:tc>
          <w:tcPr>
            <w:tcW w:type="dxa" w:w="5112"/>
            <w:vAlign w:val="center"/>
          </w:tcPr>
          <w:p>
            <w:r>
              <w:rPr>
                <w:sz w:val="16"/>
              </w:rPr>
              <w:t>Whether explanations accurately reflect model behavior and do not imply causation.</w:t>
            </w:r>
          </w:p>
        </w:tc>
      </w:tr>
    </w:tbl>
    <w:p>
      <w:pPr>
        <w:spacing w:after="40"/>
      </w:pPr>
    </w:p>
    <w:p>
      <w:pPr>
        <w:pStyle w:val="Heading1"/>
      </w:pPr>
      <w:r>
        <w:t>4. Step 3 — Model evaluation strategy</w:t>
      </w:r>
    </w:p>
    <w:p>
      <w:r>
        <w:t>Evaluation should answer three questions: Can the model distinguish delinquent from non-delinquent customers? Can its probabilities support useful Collections prioritization? Does it behave acceptably across relevant customer groups? Accuracy alone is insufficient because only 16% of records are delinquent.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tcPr>
          <w:p>
            <w:r>
              <w:rPr>
                <w:b/>
                <w:sz w:val="17"/>
              </w:rPr>
              <w:t>Metric / check</w:t>
            </w:r>
          </w:p>
        </w:tc>
        <w:tc>
          <w:tcPr>
            <w:tcW w:type="dxa" w:w="3408"/>
            <w:shd w:fill="E8EEF7"/>
          </w:tcPr>
          <w:p>
            <w:r>
              <w:rPr>
                <w:b/>
                <w:sz w:val="17"/>
              </w:rPr>
              <w:t>What it measures</w:t>
            </w:r>
          </w:p>
        </w:tc>
        <w:tc>
          <w:tcPr>
            <w:tcW w:type="dxa" w:w="3408"/>
            <w:shd w:fill="E8EEF7"/>
          </w:tcPr>
          <w:p>
            <w:r>
              <w:rPr>
                <w:b/>
                <w:sz w:val="17"/>
              </w:rPr>
              <w:t>How to interpret it</w:t>
            </w:r>
          </w:p>
        </w:tc>
      </w:tr>
      <w:tr>
        <w:tc>
          <w:tcPr>
            <w:tcW w:type="dxa" w:w="3408"/>
            <w:vAlign w:val="center"/>
          </w:tcPr>
          <w:p>
            <w:r>
              <w:rPr>
                <w:sz w:val="16"/>
              </w:rPr>
              <w:t>Accuracy</w:t>
            </w:r>
          </w:p>
        </w:tc>
        <w:tc>
          <w:tcPr>
            <w:tcW w:type="dxa" w:w="3408"/>
            <w:vAlign w:val="center"/>
          </w:tcPr>
          <w:p>
            <w:r>
              <w:rPr>
                <w:sz w:val="16"/>
              </w:rPr>
              <w:t>Overall proportion classified correctly.</w:t>
            </w:r>
          </w:p>
        </w:tc>
        <w:tc>
          <w:tcPr>
            <w:tcW w:type="dxa" w:w="3408"/>
            <w:vAlign w:val="center"/>
          </w:tcPr>
          <w:p>
            <w:r>
              <w:rPr>
                <w:sz w:val="16"/>
              </w:rPr>
              <w:t>Context only; can be misleading with an imbalanced target.</w:t>
            </w:r>
          </w:p>
        </w:tc>
      </w:tr>
      <w:tr>
        <w:tc>
          <w:tcPr>
            <w:tcW w:type="dxa" w:w="3408"/>
            <w:vAlign w:val="center"/>
          </w:tcPr>
          <w:p>
            <w:r>
              <w:rPr>
                <w:sz w:val="16"/>
              </w:rPr>
              <w:t>Precision</w:t>
            </w:r>
          </w:p>
        </w:tc>
        <w:tc>
          <w:tcPr>
            <w:tcW w:type="dxa" w:w="3408"/>
            <w:vAlign w:val="center"/>
          </w:tcPr>
          <w:p>
            <w:r>
              <w:rPr>
                <w:sz w:val="16"/>
              </w:rPr>
              <w:t>Among predicted high-risk customers, proportion actually delinquent.</w:t>
            </w:r>
          </w:p>
        </w:tc>
        <w:tc>
          <w:tcPr>
            <w:tcW w:type="dxa" w:w="3408"/>
            <w:vAlign w:val="center"/>
          </w:tcPr>
          <w:p>
            <w:r>
              <w:rPr>
                <w:sz w:val="16"/>
              </w:rPr>
              <w:t>Higher precision means outreach is more concentrated on genuinely risky customers.</w:t>
            </w:r>
          </w:p>
        </w:tc>
      </w:tr>
      <w:tr>
        <w:tc>
          <w:tcPr>
            <w:tcW w:type="dxa" w:w="3408"/>
            <w:vAlign w:val="center"/>
          </w:tcPr>
          <w:p>
            <w:r>
              <w:rPr>
                <w:sz w:val="16"/>
              </w:rPr>
              <w:t>Recall</w:t>
            </w:r>
          </w:p>
        </w:tc>
        <w:tc>
          <w:tcPr>
            <w:tcW w:type="dxa" w:w="3408"/>
            <w:vAlign w:val="center"/>
          </w:tcPr>
          <w:p>
            <w:r>
              <w:rPr>
                <w:sz w:val="16"/>
              </w:rPr>
              <w:t>Among genuinely delinquent customers, proportion identified.</w:t>
            </w:r>
          </w:p>
        </w:tc>
        <w:tc>
          <w:tcPr>
            <w:tcW w:type="dxa" w:w="3408"/>
            <w:vAlign w:val="center"/>
          </w:tcPr>
          <w:p>
            <w:r>
              <w:rPr>
                <w:sz w:val="16"/>
              </w:rPr>
              <w:t>Important for avoiding missed high-risk customers.</w:t>
            </w:r>
          </w:p>
        </w:tc>
      </w:tr>
      <w:tr>
        <w:tc>
          <w:tcPr>
            <w:tcW w:type="dxa" w:w="3408"/>
            <w:vAlign w:val="center"/>
          </w:tcPr>
          <w:p>
            <w:r>
              <w:rPr>
                <w:sz w:val="16"/>
              </w:rPr>
              <w:t>F1-score</w:t>
            </w:r>
          </w:p>
        </w:tc>
        <w:tc>
          <w:tcPr>
            <w:tcW w:type="dxa" w:w="3408"/>
            <w:vAlign w:val="center"/>
          </w:tcPr>
          <w:p>
            <w:r>
              <w:rPr>
                <w:sz w:val="16"/>
              </w:rPr>
              <w:t>Balance between precision and recall.</w:t>
            </w:r>
          </w:p>
        </w:tc>
        <w:tc>
          <w:tcPr>
            <w:tcW w:type="dxa" w:w="3408"/>
            <w:vAlign w:val="center"/>
          </w:tcPr>
          <w:p>
            <w:r>
              <w:rPr>
                <w:sz w:val="16"/>
              </w:rPr>
              <w:t>Useful when both missed risks and unnecessary outreach matter.</w:t>
            </w:r>
          </w:p>
        </w:tc>
      </w:tr>
      <w:tr>
        <w:tc>
          <w:tcPr>
            <w:tcW w:type="dxa" w:w="3408"/>
            <w:vAlign w:val="center"/>
          </w:tcPr>
          <w:p>
            <w:r>
              <w:rPr>
                <w:sz w:val="16"/>
              </w:rPr>
              <w:t>ROC-AUC</w:t>
            </w:r>
          </w:p>
        </w:tc>
        <w:tc>
          <w:tcPr>
            <w:tcW w:type="dxa" w:w="3408"/>
            <w:vAlign w:val="center"/>
          </w:tcPr>
          <w:p>
            <w:r>
              <w:rPr>
                <w:sz w:val="16"/>
              </w:rPr>
              <w:t>Ranking/discrimination across thresholds.</w:t>
            </w:r>
          </w:p>
        </w:tc>
        <w:tc>
          <w:tcPr>
            <w:tcW w:type="dxa" w:w="3408"/>
            <w:vAlign w:val="center"/>
          </w:tcPr>
          <w:p>
            <w:r>
              <w:rPr>
                <w:sz w:val="16"/>
              </w:rPr>
              <w:t>Higher values indicate stronger separation.</w:t>
            </w:r>
          </w:p>
        </w:tc>
      </w:tr>
      <w:tr>
        <w:tc>
          <w:tcPr>
            <w:tcW w:type="dxa" w:w="3408"/>
            <w:vAlign w:val="center"/>
          </w:tcPr>
          <w:p>
            <w:r>
              <w:rPr>
                <w:sz w:val="16"/>
              </w:rPr>
              <w:t>PR-AUC</w:t>
            </w:r>
          </w:p>
        </w:tc>
        <w:tc>
          <w:tcPr>
            <w:tcW w:type="dxa" w:w="3408"/>
            <w:vAlign w:val="center"/>
          </w:tcPr>
          <w:p>
            <w:r>
              <w:rPr>
                <w:sz w:val="16"/>
              </w:rPr>
              <w:t>Precision-recall performance across thresholds.</w:t>
            </w:r>
          </w:p>
        </w:tc>
        <w:tc>
          <w:tcPr>
            <w:tcW w:type="dxa" w:w="3408"/>
            <w:vAlign w:val="center"/>
          </w:tcPr>
          <w:p>
            <w:r>
              <w:rPr>
                <w:sz w:val="16"/>
              </w:rPr>
              <w:t>Especially informative for the minority delinquent class.</w:t>
            </w:r>
          </w:p>
        </w:tc>
      </w:tr>
      <w:tr>
        <w:tc>
          <w:tcPr>
            <w:tcW w:type="dxa" w:w="3408"/>
            <w:vAlign w:val="center"/>
          </w:tcPr>
          <w:p>
            <w:r>
              <w:rPr>
                <w:sz w:val="16"/>
              </w:rPr>
              <w:t>Calibration</w:t>
            </w:r>
          </w:p>
        </w:tc>
        <w:tc>
          <w:tcPr>
            <w:tcW w:type="dxa" w:w="3408"/>
            <w:vAlign w:val="center"/>
          </w:tcPr>
          <w:p>
            <w:r>
              <w:rPr>
                <w:sz w:val="16"/>
              </w:rPr>
              <w:t>Whether predicted probabilities match observed event rates.</w:t>
            </w:r>
          </w:p>
        </w:tc>
        <w:tc>
          <w:tcPr>
            <w:tcW w:type="dxa" w:w="3408"/>
            <w:vAlign w:val="center"/>
          </w:tcPr>
          <w:p>
            <w:r>
              <w:rPr>
                <w:sz w:val="16"/>
              </w:rPr>
              <w:t>Important when scores are used as probabilities.</w:t>
            </w:r>
          </w:p>
        </w:tc>
      </w:tr>
      <w:tr>
        <w:tc>
          <w:tcPr>
            <w:tcW w:type="dxa" w:w="3408"/>
            <w:vAlign w:val="center"/>
          </w:tcPr>
          <w:p>
            <w:r>
              <w:rPr>
                <w:sz w:val="16"/>
              </w:rPr>
              <w:t>Confusion matrix</w:t>
            </w:r>
          </w:p>
        </w:tc>
        <w:tc>
          <w:tcPr>
            <w:tcW w:type="dxa" w:w="3408"/>
            <w:vAlign w:val="center"/>
          </w:tcPr>
          <w:p>
            <w:r>
              <w:rPr>
                <w:sz w:val="16"/>
              </w:rPr>
              <w:t>TP, TN, FP, FN at a chosen threshold.</w:t>
            </w:r>
          </w:p>
        </w:tc>
        <w:tc>
          <w:tcPr>
            <w:tcW w:type="dxa" w:w="3408"/>
            <w:vAlign w:val="center"/>
          </w:tcPr>
          <w:p>
            <w:r>
              <w:rPr>
                <w:sz w:val="16"/>
              </w:rPr>
              <w:t>Makes operational errors visible.</w:t>
            </w:r>
          </w:p>
        </w:tc>
      </w:tr>
    </w:tbl>
    <w:p>
      <w:pPr>
        <w:spacing w:after="40"/>
      </w:pPr>
    </w:p>
    <w:p>
      <w:pPr>
        <w:pStyle w:val="Heading2"/>
      </w:pPr>
      <w:r>
        <w:t>Threshold and business interpretation</w:t>
      </w:r>
    </w:p>
    <w:p>
      <w:r>
        <w:t>The default 0.50 threshold should not be assumed to be optimal. The team should test multiple thresholds and select one based on the trade-off between recall, precision, Collections capacity, and the business cost of false negatives versus false positives. Risk bands such as Low, Medium, and High can then be defined from validated probability ranges, with clear operational rules for each band.</w:t>
      </w:r>
    </w:p>
    <w:p>
      <w:pPr>
        <w:pStyle w:val="Heading2"/>
      </w:pPr>
      <w:r>
        <w:t>Fairness checks</w:t>
      </w:r>
    </w:p>
    <w:p>
      <w:pPr>
        <w:pStyle w:val="ListBullet"/>
        <w:spacing w:after="40"/>
      </w:pPr>
      <w:r>
        <w:t>Compare recall, precision, false-positive rate, false-negative rate, and calibration across relevant groups such as age bands, employment status, and other legitimate business segments.</w:t>
      </w:r>
    </w:p>
    <w:p>
      <w:pPr>
        <w:pStyle w:val="ListBullet"/>
        <w:spacing w:after="40"/>
      </w:pPr>
      <w:r>
        <w:t>Investigate material performance gaps rather than assuming a single overall AUC proves the model is fair.</w:t>
      </w:r>
    </w:p>
    <w:p>
      <w:pPr>
        <w:pStyle w:val="ListBullet"/>
        <w:spacing w:after="40"/>
      </w:pPr>
      <w:r>
        <w:t>Check whether missingness or preprocessing affects groups differently; missing data can itself become a source of unequal model performance.</w:t>
      </w:r>
    </w:p>
    <w:p>
      <w:pPr>
        <w:pStyle w:val="ListBullet"/>
        <w:spacing w:after="40"/>
      </w:pPr>
      <w:r>
        <w:t>Review potentially sensitive or proxy variables before deployment. Do not include a variable merely because it improves predictive performance.</w:t>
      </w:r>
    </w:p>
    <w:p>
      <w:pPr>
        <w:pStyle w:val="ListBullet"/>
        <w:spacing w:after="40"/>
      </w:pPr>
      <w:r>
        <w:t>Use the model to prioritize supportive, proportionate intervention—not to automatically deny services or apply punitive treatment.</w:t>
      </w:r>
    </w:p>
    <w:p>
      <w:pPr>
        <w:pStyle w:val="Heading2"/>
      </w:pPr>
      <w:r>
        <w:t>Robustness and real-world validation</w:t>
      </w:r>
    </w:p>
    <w:p>
      <w:pPr>
        <w:pStyle w:val="ListBullet"/>
        <w:spacing w:after="40"/>
      </w:pPr>
      <w:r>
        <w:t>Use stratified cross-validation during development and a final untouched test set for unbiased performance estimation.</w:t>
      </w:r>
    </w:p>
    <w:p>
      <w:pPr>
        <w:pStyle w:val="ListBullet"/>
        <w:spacing w:after="40"/>
      </w:pPr>
      <w:r>
        <w:t>Check performance stability across folds; large variation indicates that the 500-record sample may not provide a stable estimate.</w:t>
      </w:r>
    </w:p>
    <w:p>
      <w:pPr>
        <w:pStyle w:val="ListBullet"/>
        <w:spacing w:after="40"/>
      </w:pPr>
      <w:r>
        <w:t>After deployment, monitor drift in feature distributions, delinquency prevalence, calibration, and subgroup performance.</w:t>
      </w:r>
    </w:p>
    <w:p>
      <w:pPr>
        <w:pStyle w:val="ListBullet"/>
        <w:spacing w:after="40"/>
      </w:pPr>
      <w:r>
        <w:t>Periodically compare predicted risk with realized outcomes and retrain only under a controlled model-governance process.</w:t>
      </w:r>
    </w:p>
    <w:p>
      <w:pPr>
        <w:pStyle w:val="Heading1"/>
      </w:pPr>
      <w:r>
        <w:t>5. Decision criteria for model improvement</w:t>
      </w:r>
    </w:p>
    <w:tbl>
      <w:tblPr>
        <w:tblStyle w:val="TableGrid"/>
        <w:tblW w:type="auto" w:w="0"/>
        <w:jc w:val="center"/>
        <w:tblLook w:firstColumn="1" w:firstRow="1" w:lastColumn="0" w:lastRow="0" w:noHBand="0" w:noVBand="1" w:val="04A0"/>
      </w:tblPr>
      <w:tblGrid>
        <w:gridCol w:w="5112"/>
        <w:gridCol w:w="5112"/>
      </w:tblGrid>
      <w:tr>
        <w:tc>
          <w:tcPr>
            <w:tcW w:type="dxa" w:w="5112"/>
            <w:shd w:fill="E8EEF7"/>
          </w:tcPr>
          <w:p>
            <w:r>
              <w:rPr>
                <w:b/>
                <w:sz w:val="17"/>
              </w:rPr>
              <w:t>Finding</w:t>
            </w:r>
          </w:p>
        </w:tc>
        <w:tc>
          <w:tcPr>
            <w:tcW w:type="dxa" w:w="5112"/>
            <w:shd w:fill="E8EEF7"/>
          </w:tcPr>
          <w:p>
            <w:r>
              <w:rPr>
                <w:b/>
                <w:sz w:val="17"/>
              </w:rPr>
              <w:t>Action</w:t>
            </w:r>
          </w:p>
        </w:tc>
      </w:tr>
      <w:tr>
        <w:tc>
          <w:tcPr>
            <w:tcW w:type="dxa" w:w="5112"/>
            <w:vAlign w:val="center"/>
          </w:tcPr>
          <w:p>
            <w:r>
              <w:rPr>
                <w:sz w:val="16"/>
              </w:rPr>
              <w:t>High accuracy but poor recall/PR-AUC</w:t>
            </w:r>
          </w:p>
        </w:tc>
        <w:tc>
          <w:tcPr>
            <w:tcW w:type="dxa" w:w="5112"/>
            <w:vAlign w:val="center"/>
          </w:tcPr>
          <w:p>
            <w:r>
              <w:rPr>
                <w:sz w:val="16"/>
              </w:rPr>
              <w:t>Do not approve based on accuracy; revisit features and threshold.</w:t>
            </w:r>
          </w:p>
        </w:tc>
      </w:tr>
      <w:tr>
        <w:tc>
          <w:tcPr>
            <w:tcW w:type="dxa" w:w="5112"/>
            <w:vAlign w:val="center"/>
          </w:tcPr>
          <w:p>
            <w:r>
              <w:rPr>
                <w:sz w:val="16"/>
              </w:rPr>
              <w:t>Strong training performance but weak test performance</w:t>
            </w:r>
          </w:p>
        </w:tc>
        <w:tc>
          <w:tcPr>
            <w:tcW w:type="dxa" w:w="5112"/>
            <w:vAlign w:val="center"/>
          </w:tcPr>
          <w:p>
            <w:r>
              <w:rPr>
                <w:sz w:val="16"/>
              </w:rPr>
              <w:t>Investigate overfitting; simplify features/model or strengthen validation.</w:t>
            </w:r>
          </w:p>
        </w:tc>
      </w:tr>
      <w:tr>
        <w:tc>
          <w:tcPr>
            <w:tcW w:type="dxa" w:w="5112"/>
            <w:vAlign w:val="center"/>
          </w:tcPr>
          <w:p>
            <w:r>
              <w:rPr>
                <w:sz w:val="16"/>
              </w:rPr>
              <w:t>Poor calibration</w:t>
            </w:r>
          </w:p>
        </w:tc>
        <w:tc>
          <w:tcPr>
            <w:tcW w:type="dxa" w:w="5112"/>
            <w:vAlign w:val="center"/>
          </w:tcPr>
          <w:p>
            <w:r>
              <w:rPr>
                <w:sz w:val="16"/>
              </w:rPr>
              <w:t>Recalibrate probabilities before using them as operational risk scores.</w:t>
            </w:r>
          </w:p>
        </w:tc>
      </w:tr>
      <w:tr>
        <w:tc>
          <w:tcPr>
            <w:tcW w:type="dxa" w:w="5112"/>
            <w:vAlign w:val="center"/>
          </w:tcPr>
          <w:p>
            <w:r>
              <w:rPr>
                <w:sz w:val="16"/>
              </w:rPr>
              <w:t>Large subgroup performance gap</w:t>
            </w:r>
          </w:p>
        </w:tc>
        <w:tc>
          <w:tcPr>
            <w:tcW w:type="dxa" w:w="5112"/>
            <w:vAlign w:val="center"/>
          </w:tcPr>
          <w:p>
            <w:r>
              <w:rPr>
                <w:sz w:val="16"/>
              </w:rPr>
              <w:t>Investigate data, proxies, sample sizes, and mitigation options before deployment.</w:t>
            </w:r>
          </w:p>
        </w:tc>
      </w:tr>
      <w:tr>
        <w:tc>
          <w:tcPr>
            <w:tcW w:type="dxa" w:w="5112"/>
            <w:vAlign w:val="center"/>
          </w:tcPr>
          <w:p>
            <w:r>
              <w:rPr>
                <w:sz w:val="16"/>
              </w:rPr>
              <w:t>Decision tree materially outperforms logistic regression and remains interpretable</w:t>
            </w:r>
          </w:p>
        </w:tc>
        <w:tc>
          <w:tcPr>
            <w:tcW w:type="dxa" w:w="5112"/>
            <w:vAlign w:val="center"/>
          </w:tcPr>
          <w:p>
            <w:r>
              <w:rPr>
                <w:sz w:val="16"/>
              </w:rPr>
              <w:t>Consider the tree as primary only after validation and governance review.</w:t>
            </w:r>
          </w:p>
        </w:tc>
      </w:tr>
      <w:tr>
        <w:tc>
          <w:tcPr>
            <w:tcW w:type="dxa" w:w="5112"/>
            <w:vAlign w:val="center"/>
          </w:tcPr>
          <w:p>
            <w:r>
              <w:rPr>
                <w:sz w:val="16"/>
              </w:rPr>
              <w:t>Both models perform weakly</w:t>
            </w:r>
          </w:p>
        </w:tc>
        <w:tc>
          <w:tcPr>
            <w:tcW w:type="dxa" w:w="5112"/>
            <w:vAlign w:val="center"/>
          </w:tcPr>
          <w:p>
            <w:r>
              <w:rPr>
                <w:sz w:val="16"/>
              </w:rPr>
              <w:t>Improve feature engineering/data quality and validate the target definition before increasing complexity.</w:t>
            </w:r>
          </w:p>
        </w:tc>
      </w:tr>
      <w:tr>
        <w:tc>
          <w:tcPr>
            <w:tcW w:type="dxa" w:w="5112"/>
            <w:vAlign w:val="center"/>
          </w:tcPr>
          <w:p>
            <w:r>
              <w:rPr>
                <w:sz w:val="16"/>
              </w:rPr>
              <w:t>Feature uses information unavailable at prediction time</w:t>
            </w:r>
          </w:p>
        </w:tc>
        <w:tc>
          <w:tcPr>
            <w:tcW w:type="dxa" w:w="5112"/>
            <w:vAlign w:val="center"/>
          </w:tcPr>
          <w:p>
            <w:r>
              <w:rPr>
                <w:sz w:val="16"/>
              </w:rPr>
              <w:t>Remove it and retrain using leakage-controlled features.</w:t>
            </w:r>
          </w:p>
        </w:tc>
      </w:tr>
    </w:tbl>
    <w:p>
      <w:pPr>
        <w:spacing w:after="40"/>
      </w:pPr>
    </w:p>
    <w:p>
      <w:pPr>
        <w:pStyle w:val="Heading1"/>
      </w:pPr>
      <w:r>
        <w:t>6. Final recommendation</w:t>
      </w:r>
    </w:p>
    <w:p>
      <w:r>
        <w:t>Geldium should begin with an interpretable logistic-regression risk model and use a decision tree as a challenger. The model should convert customer financial and repayment behavior into a calibrated delinquency probability, allowing the Collections team to prioritize outreach rather than treating all customers identically. Deployment should occur only after acceptable discrimination, recall/precision trade-offs, calibration, subgroup fairness, and stability are demonstrated on unseen data. GenAI can accelerate model design and coding, but the analytics team remains responsible for validating logic, preventing leakage, selecting features and hyperparameters based on evidence, and approving the final model.</w:t>
      </w:r>
    </w:p>
    <w:p>
      <w:pPr>
        <w:pStyle w:val="Heading1"/>
      </w:pPr>
      <w:r>
        <w:t>Appendix — GenAI prompts used for scaffolding</w:t>
      </w:r>
    </w:p>
    <w:p>
      <w:pPr>
        <w:pStyle w:val="ListBullet"/>
        <w:spacing w:after="40"/>
      </w:pPr>
      <w:r>
        <w:t>Outline a predictive modeling pipeline to forecast credit delinquency using the Geldium dataset, including feature selection, preprocessing, model training, risk scoring, and evaluation.</w:t>
      </w:r>
    </w:p>
    <w:p>
      <w:pPr>
        <w:pStyle w:val="ListBullet"/>
        <w:spacing w:after="40"/>
      </w:pPr>
      <w:r>
        <w:t>Suggest two modeling options for a binary delinquency target and recommend one based on a dataset of 500 customer records, explainability, and financial-services use.</w:t>
      </w:r>
    </w:p>
    <w:p>
      <w:pPr>
        <w:pStyle w:val="ListBullet"/>
        <w:spacing w:after="40"/>
      </w:pPr>
      <w:r>
        <w:t>Identify useful candidate features from payment history, missed payments, credit utilization, debt-to-income ratio, credit score, income, and loan balance. Explain what should be checked before inclusion.</w:t>
      </w:r>
    </w:p>
    <w:p>
      <w:pPr>
        <w:pStyle w:val="ListBullet"/>
        <w:spacing w:after="40"/>
      </w:pPr>
      <w:r>
        <w:t>Suggest an evaluation framework for a delinquency model covering precision, recall, F1, ROC-AUC, PR-AUC, calibration, class imbalance, and fairness.</w:t>
      </w:r>
    </w:p>
    <w:p>
      <w:pPr>
        <w:pStyle w:val="ListBullet"/>
        <w:spacing w:after="40"/>
      </w:pPr>
      <w:r>
        <w:t>List the checks an analyst should perform on GenAI-generated predictive-model code before using it in a financial-risk workflow.</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Conceptual predictive modeling plan • Delinquency risk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GELDIUM • PREDICTIVE MODELING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