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62.png" ContentType="image/png"/>
  <Override PartName="/word/media/rId74.png" ContentType="image/png"/>
  <Override PartName="/word/media/rId86.png" ContentType="image/png"/>
  <Override PartName="/word/media/rId39.png" ContentType="image/png"/>
  <Override PartName="/word/media/rId45.png" ContentType="image/png"/>
  <Override PartName="/word/media/rId80.png" ContentType="image/png"/>
  <Override PartName="/word/media/rId68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Тарасова Алина Андреевна</w:t>
      </w:r>
      <w:r>
        <w:t xml:space="preserve"> </w:t>
      </w:r>
      <w:r>
        <w:t xml:space="preserve">degrees:</w:t>
      </w:r>
      <w:r>
        <w:t xml:space="preserve"> </w:t>
      </w:r>
      <w:r>
        <w:t xml:space="preserve">orcid:</w:t>
      </w:r>
      <w:r>
        <w:t xml:space="preserve"> </w:t>
      </w:r>
      <w:r>
        <w:t xml:space="preserve">email: 1132236013@rudn.ru</w:t>
      </w:r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 Федерация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 6</w:t>
      </w:r>
      <w:r>
        <w:t xml:space="preserve"> </w:t>
      </w:r>
      <w:r>
        <w:t xml:space="preserve">## Title</w:t>
      </w:r>
      <w:r>
        <w:t xml:space="preserve"> </w:t>
      </w:r>
      <w:r>
        <w:t xml:space="preserve">title: Реализация модели SIR в подходе сетей Петри</w:t>
      </w:r>
      <w:r>
        <w:t xml:space="preserve"> </w:t>
      </w:r>
      <w:r>
        <w:t xml:space="preserve">subtitle: Лабораторная работа №6</w:t>
      </w:r>
      <w:r>
        <w:t xml:space="preserve"> </w:t>
      </w:r>
      <w:r>
        <w:t xml:space="preserve">license: CC BY</w:t>
      </w:r>
      <w:r>
        <w:t xml:space="preserve"> </w:t>
      </w:r>
      <w:r>
        <w:t xml:space="preserve">date: today</w:t>
      </w:r>
      <w:r>
        <w:t xml:space="preserve"> </w:t>
      </w:r>
      <w:r>
        <w:t xml:space="preserve">date-format:</w:t>
      </w:r>
      <w:r>
        <w:t xml:space="preserve"> </w:t>
      </w:r>
      <w:r>
        <w:t xml:space="preserve">“2026-04-25”</w:t>
      </w:r>
    </w:p>
    <w:p>
      <w:r>
        <w:pict>
          <v:rect style="width:0;height:1.5pt" o:hralign="center" o:hrstd="t" o:hr="t"/>
        </w:pict>
      </w:r>
    </w:p>
    <w:bookmarkEnd w:id="20"/>
    <w:bookmarkStart w:id="23" w:name="информация"/>
    <w:p>
      <w:pPr>
        <w:pStyle w:val="Heading1"/>
      </w:pPr>
      <w:r>
        <w:t xml:space="preserve">Информация</w:t>
      </w:r>
    </w:p>
    <w:bookmarkStart w:id="22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Студент: Тарасова Алина Андреевна</w:t>
      </w:r>
    </w:p>
    <w:p>
      <w:pPr>
        <w:pStyle w:val="Compact"/>
        <w:numPr>
          <w:ilvl w:val="0"/>
          <w:numId w:val="1001"/>
        </w:numPr>
      </w:pPr>
      <w:r>
        <w:t xml:space="preserve">Группа: НФИбд-01-23</w:t>
      </w:r>
    </w:p>
    <w:p>
      <w:pPr>
        <w:pStyle w:val="Compact"/>
        <w:numPr>
          <w:ilvl w:val="0"/>
          <w:numId w:val="1001"/>
        </w:numPr>
      </w:pPr>
      <w:r>
        <w:t xml:space="preserve">Кафедра теории вероятностей и кибербезопасности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student@rudn.ru</w:t>
        </w:r>
      </w:hyperlink>
    </w:p>
    <w:bookmarkEnd w:id="22"/>
    <w:bookmarkEnd w:id="23"/>
    <w:bookmarkStart w:id="28" w:name="вводная-часть"/>
    <w:p>
      <w:pPr>
        <w:pStyle w:val="Heading1"/>
      </w:pPr>
      <w:r>
        <w:t xml:space="preserve">Вводная часть</w:t>
      </w:r>
    </w:p>
    <w:bookmarkStart w:id="24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Моделирование эпидемий — важная задача для прогнозирования распространения инфекций</w:t>
      </w:r>
    </w:p>
    <w:p>
      <w:pPr>
        <w:pStyle w:val="Compact"/>
        <w:numPr>
          <w:ilvl w:val="0"/>
          <w:numId w:val="1002"/>
        </w:numPr>
      </w:pPr>
      <w:r>
        <w:t xml:space="preserve">Сети Петри позволяют наглядно описывать параллельные и асинхронные процессы</w:t>
      </w:r>
    </w:p>
    <w:p>
      <w:pPr>
        <w:pStyle w:val="Compact"/>
        <w:numPr>
          <w:ilvl w:val="0"/>
          <w:numId w:val="1002"/>
        </w:numPr>
      </w:pPr>
      <w:r>
        <w:t xml:space="preserve">Сравнение детерминированного и стохастического подходов даёт полную картину динамики</w:t>
      </w:r>
    </w:p>
    <w:p>
      <w:pPr>
        <w:pStyle w:val="Compact"/>
        <w:numPr>
          <w:ilvl w:val="0"/>
          <w:numId w:val="1002"/>
        </w:numPr>
      </w:pPr>
      <w:r>
        <w:t xml:space="preserve">Необходима автоматизация расчётов и визуализации для быстрого анализа сценариев</w:t>
      </w:r>
    </w:p>
    <w:bookmarkEnd w:id="24"/>
    <w:bookmarkStart w:id="25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Объект: эпидемиологическая модель SIR (Susceptible–Infectious–Recovered)</w:t>
      </w:r>
    </w:p>
    <w:p>
      <w:pPr>
        <w:pStyle w:val="Compact"/>
        <w:numPr>
          <w:ilvl w:val="0"/>
          <w:numId w:val="1003"/>
        </w:numPr>
      </w:pPr>
      <w:r>
        <w:t xml:space="preserve">Предмет: реализация модели SIR с использованием сетей Петри в языке Julia</w:t>
      </w:r>
    </w:p>
    <w:bookmarkEnd w:id="25"/>
    <w:bookmarkStart w:id="26" w:name="цели-и-задачи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04"/>
        </w:numPr>
      </w:pPr>
      <w:r>
        <w:t xml:space="preserve">Реализовать модель SIR на сетях Петри</w:t>
      </w:r>
    </w:p>
    <w:p>
      <w:pPr>
        <w:pStyle w:val="Compact"/>
        <w:numPr>
          <w:ilvl w:val="0"/>
          <w:numId w:val="1004"/>
        </w:numPr>
      </w:pPr>
      <w:r>
        <w:t xml:space="preserve">Выполнить детерминированное и стохастическое моделирование</w:t>
      </w:r>
    </w:p>
    <w:p>
      <w:pPr>
        <w:pStyle w:val="Compact"/>
        <w:numPr>
          <w:ilvl w:val="0"/>
          <w:numId w:val="1004"/>
        </w:numPr>
      </w:pPr>
      <w:r>
        <w:t xml:space="preserve">Исследовать чувствительность модели к параметру заражения β</w:t>
      </w:r>
    </w:p>
    <w:p>
      <w:pPr>
        <w:pStyle w:val="Compact"/>
        <w:numPr>
          <w:ilvl w:val="0"/>
          <w:numId w:val="1004"/>
        </w:numPr>
      </w:pPr>
      <w:r>
        <w:t xml:space="preserve">Создать анимацию динамики эпидемии</w:t>
      </w:r>
    </w:p>
    <w:p>
      <w:pPr>
        <w:pStyle w:val="Compact"/>
        <w:numPr>
          <w:ilvl w:val="0"/>
          <w:numId w:val="1004"/>
        </w:numPr>
      </w:pPr>
      <w:r>
        <w:t xml:space="preserve">Преобразовать код в литературный стиль и сгенерировать отчётные форматы</w:t>
      </w:r>
    </w:p>
    <w:bookmarkEnd w:id="26"/>
    <w:bookmarkStart w:id="27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5"/>
        </w:numPr>
      </w:pPr>
      <w:r>
        <w:t xml:space="preserve">Язык программирования: Julia</w:t>
      </w:r>
    </w:p>
    <w:p>
      <w:pPr>
        <w:pStyle w:val="Compact"/>
        <w:numPr>
          <w:ilvl w:val="0"/>
          <w:numId w:val="1005"/>
        </w:numPr>
      </w:pPr>
      <w:r>
        <w:t xml:space="preserve">Пакеты: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</w:p>
    <w:p>
      <w:pPr>
        <w:pStyle w:val="Compact"/>
        <w:numPr>
          <w:ilvl w:val="0"/>
          <w:numId w:val="1005"/>
        </w:numPr>
      </w:pPr>
      <w:r>
        <w:t xml:space="preserve">Детерминированный метод: решение ОДУ (Tsit5)</w:t>
      </w:r>
    </w:p>
    <w:p>
      <w:pPr>
        <w:pStyle w:val="Compact"/>
        <w:numPr>
          <w:ilvl w:val="0"/>
          <w:numId w:val="1005"/>
        </w:numPr>
      </w:pPr>
      <w:r>
        <w:t xml:space="preserve">Стохастический метод: прямой алгоритм Гиллеспи (SSA)</w:t>
      </w:r>
    </w:p>
    <w:p>
      <w:pPr>
        <w:pStyle w:val="Compact"/>
        <w:numPr>
          <w:ilvl w:val="0"/>
          <w:numId w:val="1005"/>
        </w:numPr>
      </w:pPr>
      <w:r>
        <w:t xml:space="preserve">Визуализация: Graphviz, Plots</w:t>
      </w:r>
    </w:p>
    <w:p>
      <w:pPr>
        <w:pStyle w:val="Compact"/>
        <w:numPr>
          <w:ilvl w:val="0"/>
          <w:numId w:val="1005"/>
        </w:numPr>
      </w:pPr>
      <w:r>
        <w:t xml:space="preserve">Генерация отчётов: Literate, Jupyter Notebook, Quarto</w:t>
      </w:r>
    </w:p>
    <w:bookmarkEnd w:id="27"/>
    <w:bookmarkEnd w:id="28"/>
    <w:bookmarkStart w:id="32" w:name="создание-модели-sir"/>
    <w:p>
      <w:pPr>
        <w:pStyle w:val="Heading1"/>
      </w:pPr>
      <w:r>
        <w:t xml:space="preserve">Создание модели SIR</w:t>
      </w:r>
    </w:p>
    <w:bookmarkStart w:id="29" w:name="сеть-петри-для-sir"/>
    <w:p>
      <w:pPr>
        <w:pStyle w:val="Heading2"/>
      </w:pPr>
      <w:r>
        <w:t xml:space="preserve">Сеть Петри для SIR</w:t>
      </w:r>
    </w:p>
    <w:p>
      <w:pPr>
        <w:pStyle w:val="Compact"/>
        <w:numPr>
          <w:ilvl w:val="0"/>
          <w:numId w:val="1006"/>
        </w:numPr>
      </w:pPr>
      <w:r>
        <w:t xml:space="preserve">Состояния: S (восприимчивые), I (инфицированные), R (выздоровевшие)</w:t>
      </w:r>
    </w:p>
    <w:p>
      <w:pPr>
        <w:pStyle w:val="Compact"/>
        <w:numPr>
          <w:ilvl w:val="0"/>
          <w:numId w:val="1006"/>
        </w:numPr>
      </w:pPr>
      <w:r>
        <w:t xml:space="preserve">Переходы: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infection</w:t>
      </w:r>
      <w:r>
        <w:t xml:space="preserve">: S + I → I + I (скорость β)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recovery</w:t>
      </w:r>
      <w:r>
        <w:t xml:space="preserve">: I → R (скорость γ)</w:t>
      </w:r>
    </w:p>
    <w:p>
      <w:pPr>
        <w:pStyle w:val="Compact"/>
        <w:numPr>
          <w:ilvl w:val="0"/>
          <w:numId w:val="1006"/>
        </w:numPr>
      </w:pPr>
      <w:r>
        <w:t xml:space="preserve">Начальная маркировка: S=990, I=10, R=0</w:t>
      </w:r>
    </w:p>
    <w:bookmarkEnd w:id="29"/>
    <w:bookmarkStart w:id="30" w:name="детерминированная-симуляция"/>
    <w:p>
      <w:pPr>
        <w:pStyle w:val="Heading2"/>
      </w:pPr>
      <w:r>
        <w:t xml:space="preserve">Детерминированная симуляция</w:t>
      </w:r>
    </w:p>
    <w:p>
      <w:pPr>
        <w:pStyle w:val="Compact"/>
        <w:numPr>
          <w:ilvl w:val="0"/>
          <w:numId w:val="1008"/>
        </w:numPr>
      </w:pPr>
      <w:r>
        <w:t xml:space="preserve">Строится система обыкновенных дифференциальных уравнений по закону действующих масс</w:t>
      </w:r>
    </w:p>
    <w:p>
      <w:pPr>
        <w:pStyle w:val="Compact"/>
        <w:numPr>
          <w:ilvl w:val="0"/>
          <w:numId w:val="1008"/>
        </w:numPr>
      </w:pPr>
      <w:r>
        <w:t xml:space="preserve">Решается численно методом Tsit5</w:t>
      </w:r>
    </w:p>
    <w:p>
      <w:pPr>
        <w:pStyle w:val="Compact"/>
        <w:numPr>
          <w:ilvl w:val="0"/>
          <w:numId w:val="1008"/>
        </w:numPr>
      </w:pPr>
      <w:r>
        <w:t xml:space="preserve">Результат: плавные кривые S(t), I(t), R(t)</w:t>
      </w:r>
    </w:p>
    <w:bookmarkEnd w:id="30"/>
    <w:bookmarkStart w:id="31" w:name="стохастическая-симуляция"/>
    <w:p>
      <w:pPr>
        <w:pStyle w:val="Heading2"/>
      </w:pPr>
      <w:r>
        <w:t xml:space="preserve">Стохастическая симуляция</w:t>
      </w:r>
    </w:p>
    <w:p>
      <w:pPr>
        <w:pStyle w:val="Compact"/>
        <w:numPr>
          <w:ilvl w:val="0"/>
          <w:numId w:val="1009"/>
        </w:numPr>
      </w:pPr>
      <w:r>
        <w:t xml:space="preserve">Используется прямой метод Гиллеспи</w:t>
      </w:r>
    </w:p>
    <w:p>
      <w:pPr>
        <w:pStyle w:val="Compact"/>
        <w:numPr>
          <w:ilvl w:val="0"/>
          <w:numId w:val="1009"/>
        </w:numPr>
      </w:pPr>
      <w:r>
        <w:t xml:space="preserve">На каждом шаге вычисляются пропускные способности: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a_inf = β * S * I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a_rec = γ * I</w:t>
      </w:r>
    </w:p>
    <w:p>
      <w:pPr>
        <w:pStyle w:val="Compact"/>
        <w:numPr>
          <w:ilvl w:val="0"/>
          <w:numId w:val="1009"/>
        </w:numPr>
      </w:pPr>
      <w:r>
        <w:t xml:space="preserve">Случайным образом выбирается событие и время до него</w:t>
      </w:r>
    </w:p>
    <w:p>
      <w:pPr>
        <w:pStyle w:val="Compact"/>
        <w:numPr>
          <w:ilvl w:val="0"/>
          <w:numId w:val="1009"/>
        </w:numPr>
      </w:pPr>
      <w:r>
        <w:t xml:space="preserve">Результат: ступенчатые траектории с флуктуациями</w:t>
      </w:r>
    </w:p>
    <w:bookmarkEnd w:id="31"/>
    <w:bookmarkEnd w:id="32"/>
    <w:bookmarkStart w:id="9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8" w:name="создание-нового-релиза"/>
    <w:p>
      <w:pPr>
        <w:pStyle w:val="Heading2"/>
      </w:pPr>
      <w:r>
        <w:t xml:space="preserve">1. Создание нового релиза</w:t>
      </w:r>
    </w:p>
    <w:p>
      <w:pPr>
        <w:pStyle w:val="FirstParagraph"/>
      </w:pPr>
      <w:r>
        <w:t xml:space="preserve">Создан релиз v.6.0.0, обновлена информация по v.4.0.0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release"/>
          <w:p>
            <w:pPr>
              <w:pStyle w:val="Compact"/>
              <w:jc w:val="center"/>
            </w:pPr>
            <w:bookmarkStart w:id="36" w:name="fig-release"/>
            <w:r>
              <w:drawing>
                <wp:inline>
                  <wp:extent cx="3733800" cy="155619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6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37"/>
        </w:tc>
      </w:tr>
    </w:tbl>
    <w:bookmarkEnd w:id="38"/>
    <w:bookmarkStart w:id="44" w:name="настройка-окружения-julia"/>
    <w:p>
      <w:pPr>
        <w:pStyle w:val="Heading2"/>
      </w:pPr>
      <w:r>
        <w:t xml:space="preserve">2. Настройка окружения Julia</w:t>
      </w:r>
    </w:p>
    <w:p>
      <w:pPr>
        <w:pStyle w:val="FirstParagraph"/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julia-packages"/>
          <w:p>
            <w:pPr>
              <w:pStyle w:val="Compact"/>
              <w:jc w:val="center"/>
            </w:pPr>
            <w:bookmarkStart w:id="42" w:name="fig-julia-packages"/>
            <w:r>
              <w:drawing>
                <wp:inline>
                  <wp:extent cx="3733800" cy="206673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6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43"/>
        </w:tc>
      </w:tr>
    </w:tbl>
    <w:bookmarkEnd w:id="44"/>
    <w:bookmarkStart w:id="50" w:name="запуск-базового-скрипта-sirpetri_run.jl"/>
    <w:p>
      <w:pPr>
        <w:pStyle w:val="Heading2"/>
      </w:pPr>
      <w:r>
        <w:t xml:space="preserve">3. Запуск базового скрипта</w:t>
      </w:r>
      <w:r>
        <w:t xml:space="preserve"> </w:t>
      </w:r>
      <w:r>
        <w:rPr>
          <w:rStyle w:val="VerbatimChar"/>
        </w:rPr>
        <w:t xml:space="preserve">sirpetri_run.jl</w:t>
      </w:r>
    </w:p>
    <w:p>
      <w:pPr>
        <w:pStyle w:val="FirstParagraph"/>
      </w:pPr>
      <w:r>
        <w:t xml:space="preserve">Выполнена детерминированная и стохастическая симуляция (β=0.3, γ=0.1, tmax=100)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run"/>
          <w:p>
            <w:pPr>
              <w:pStyle w:val="Compact"/>
              <w:jc w:val="center"/>
            </w:pPr>
            <w:bookmarkStart w:id="48" w:name="fig-run"/>
            <w:r>
              <w:drawing>
                <wp:inline>
                  <wp:extent cx="3733800" cy="47923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49"/>
        </w:tc>
      </w:tr>
    </w:tbl>
    <w:bookmarkEnd w:id="50"/>
    <w:bookmarkStart w:id="61" w:name="результаты-базового-прогона"/>
    <w:p>
      <w:pPr>
        <w:pStyle w:val="Heading2"/>
      </w:pPr>
      <w:r>
        <w:t xml:space="preserve">Результаты базового прогона</w:t>
      </w:r>
    </w:p>
    <w:p>
      <w:pPr>
        <w:pStyle w:val="FirstParagraph"/>
      </w:pPr>
      <w:r>
        <w:rPr>
          <w:b/>
          <w:bCs/>
        </w:rPr>
        <w:t xml:space="preserve">Детерминированный график</w:t>
      </w:r>
      <w:r>
        <w:t xml:space="preserve"> </w:t>
      </w:r>
      <w:r>
        <w:t xml:space="preserve">– классический пик эпидемии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det"/>
          <w:p>
            <w:pPr>
              <w:pStyle w:val="Compact"/>
              <w:jc w:val="center"/>
            </w:pPr>
            <w:bookmarkStart w:id="54" w:name="fig-det"/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/plots/sir_det_dynamic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55"/>
        </w:tc>
      </w:tr>
    </w:tbl>
    <w:p>
      <w:pPr>
        <w:pStyle w:val="BodyText"/>
      </w:pPr>
      <w:r>
        <w:rPr>
          <w:b/>
          <w:bCs/>
        </w:rPr>
        <w:t xml:space="preserve">Стохастический график</w:t>
      </w:r>
      <w:r>
        <w:t xml:space="preserve"> </w:t>
      </w:r>
      <w:r>
        <w:t xml:space="preserve">– видны случайные флуктуации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stoch"/>
          <w:p>
            <w:pPr>
              <w:pStyle w:val="Compact"/>
              <w:jc w:val="center"/>
            </w:pPr>
            <w:bookmarkStart w:id="59" w:name="fig-stoch"/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/plots/sir_stoch_dynamics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60"/>
        </w:tc>
      </w:tr>
    </w:tbl>
    <w:bookmarkEnd w:id="61"/>
    <w:bookmarkStart w:id="67" w:name="X9ba64772e02203d7dfadee80386a88356a619d3"/>
    <w:p>
      <w:pPr>
        <w:pStyle w:val="Heading2"/>
      </w:pPr>
      <w:r>
        <w:t xml:space="preserve">4. Сканирование параметра β (</w:t>
      </w:r>
      <w:r>
        <w:rPr>
          <w:rStyle w:val="VerbatimChar"/>
        </w:rPr>
        <w:t xml:space="preserve">sirpetri_scan_parameters.jl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β от 0.1 до 0.8 с шагом 0.05</w:t>
      </w:r>
    </w:p>
    <w:p>
      <w:pPr>
        <w:pStyle w:val="Compact"/>
        <w:numPr>
          <w:ilvl w:val="0"/>
          <w:numId w:val="1011"/>
        </w:numPr>
      </w:pPr>
      <w:r>
        <w:t xml:space="preserve">Для каждого β вычислен пик I и конечное 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scan"/>
          <w:p>
            <w:pPr>
              <w:pStyle w:val="Compact"/>
              <w:jc w:val="center"/>
            </w:pPr>
            <w:bookmarkStart w:id="65" w:name="fig-scan"/>
            <w:r>
              <w:drawing>
                <wp:inline>
                  <wp:extent cx="3733800" cy="43833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66"/>
        </w:tc>
      </w:tr>
    </w:tbl>
    <w:bookmarkEnd w:id="67"/>
    <w:bookmarkStart w:id="73" w:name="график-чувствительности-к-β"/>
    <w:p>
      <w:pPr>
        <w:pStyle w:val="Heading2"/>
      </w:pPr>
      <w:r>
        <w:t xml:space="preserve">График чувствительности к β</w:t>
      </w:r>
    </w:p>
    <w:p>
      <w:pPr>
        <w:pStyle w:val="FirstParagraph"/>
      </w:pPr>
      <w:r>
        <w:t xml:space="preserve">При малых β эпидемии нет. С ростом β пик I и конечное R растут до насыщения.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sensitivity"/>
          <w:p>
            <w:pPr>
              <w:pStyle w:val="Compact"/>
              <w:jc w:val="center"/>
            </w:pPr>
            <w:bookmarkStart w:id="71" w:name="fig-sensitivity"/>
            <w:r>
              <w:drawing>
                <wp:inline>
                  <wp:extent cx="3733800" cy="24892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/image/sensitivity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72"/>
        </w:tc>
      </w:tr>
    </w:tbl>
    <w:bookmarkEnd w:id="73"/>
    <w:bookmarkStart w:id="79" w:name="анимация-динамики-sirpetri_animate.jl"/>
    <w:p>
      <w:pPr>
        <w:pStyle w:val="Heading2"/>
      </w:pPr>
      <w:r>
        <w:t xml:space="preserve">5. Анимация динамики (</w:t>
      </w:r>
      <w:r>
        <w:rPr>
          <w:rStyle w:val="VerbatimChar"/>
        </w:rPr>
        <w:t xml:space="preserve">sirpetri_animate.jl</w:t>
      </w:r>
      <w:r>
        <w:t xml:space="preserve">)</w:t>
      </w:r>
    </w:p>
    <w:p>
      <w:pPr>
        <w:pStyle w:val="FirstParagraph"/>
      </w:pPr>
      <w:r>
        <w:t xml:space="preserve">Создан GIF-файл, показывающий изменение S, I, R во времени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animate"/>
          <w:p>
            <w:pPr>
              <w:pStyle w:val="Compact"/>
              <w:jc w:val="center"/>
            </w:pPr>
            <w:bookmarkStart w:id="77" w:name="fig-animate"/>
            <w:r>
              <w:drawing>
                <wp:inline>
                  <wp:extent cx="3733800" cy="48713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78"/>
        </w:tc>
      </w:tr>
    </w:tbl>
    <w:bookmarkEnd w:id="79"/>
    <w:bookmarkStart w:id="85" w:name="итоговый-отчёт-sirpetri_report.jl"/>
    <w:p>
      <w:pPr>
        <w:pStyle w:val="Heading2"/>
      </w:pPr>
      <w:r>
        <w:t xml:space="preserve">6. Итоговый отчёт (</w:t>
      </w:r>
      <w:r>
        <w:rPr>
          <w:rStyle w:val="VerbatimChar"/>
        </w:rPr>
        <w:t xml:space="preserve">sirpetri_report.jl</w:t>
      </w:r>
      <w:r>
        <w:t xml:space="preserve">)</w:t>
      </w:r>
    </w:p>
    <w:p>
      <w:pPr>
        <w:pStyle w:val="FirstParagraph"/>
      </w:pPr>
      <w:r>
        <w:t xml:space="preserve">Построены сравнительные графики:</w:t>
      </w:r>
      <w:r>
        <w:t xml:space="preserve"> </w:t>
      </w:r>
      <w:r>
        <w:t xml:space="preserve">- I(t) детерминированный vs стохастический</w:t>
      </w:r>
      <w:r>
        <w:t xml:space="preserve"> </w:t>
      </w:r>
      <w:r>
        <w:t xml:space="preserve">- Зависимость пика I от 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comparison"/>
          <w:p>
            <w:pPr>
              <w:pStyle w:val="Compact"/>
              <w:jc w:val="center"/>
            </w:pPr>
            <w:bookmarkStart w:id="83" w:name="fig-comparison"/>
            <w:r>
              <w:drawing>
                <wp:inline>
                  <wp:extent cx="3733800" cy="24892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/image/comparison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84"/>
        </w:tc>
      </w:tr>
    </w:tbl>
    <w:bookmarkEnd w:id="85"/>
    <w:bookmarkStart w:id="91" w:name="преобразование-в-литературный-стиль"/>
    <w:p>
      <w:pPr>
        <w:pStyle w:val="Heading2"/>
      </w:pPr>
      <w:r>
        <w:t xml:space="preserve">Преобразование в литературный стиль</w:t>
      </w:r>
    </w:p>
    <w:p>
      <w:pPr>
        <w:pStyle w:val="FirstParagraph"/>
      </w:pPr>
      <w:r>
        <w:t xml:space="preserve">С помощью пакета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созданы:</w:t>
      </w:r>
      <w:r>
        <w:t xml:space="preserve"> </w:t>
      </w:r>
      <w:r>
        <w:t xml:space="preserve">- Чистый код (.jl)</w:t>
      </w:r>
      <w:r>
        <w:t xml:space="preserve"> </w:t>
      </w:r>
      <w:r>
        <w:t xml:space="preserve">- Jupyter Notebook (.ipynb)</w:t>
      </w:r>
      <w:r>
        <w:t xml:space="preserve"> </w:t>
      </w:r>
      <w:r>
        <w:t xml:space="preserve">- Документация Quarto (.qmd)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literate"/>
          <w:p>
            <w:pPr>
              <w:pStyle w:val="Compact"/>
              <w:jc w:val="center"/>
            </w:pPr>
            <w:bookmarkStart w:id="89" w:name="fig-literate"/>
            <w:r>
              <w:drawing>
                <wp:inline>
                  <wp:extent cx="3733800" cy="331421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16_1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4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90"/>
        </w:tc>
      </w:tr>
    </w:tbl>
    <w:bookmarkEnd w:id="91"/>
    <w:bookmarkStart w:id="92" w:name="интеграция-в-отчёт-quarto"/>
    <w:p>
      <w:pPr>
        <w:pStyle w:val="Heading2"/>
      </w:pPr>
      <w:r>
        <w:t xml:space="preserve">Интеграция в отчёт Quarto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добавлена поддержка Julia, в отчёт включены сгенерированные .qmd-файлы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92"/>
    <w:bookmarkEnd w:id="93"/>
    <w:bookmarkStart w:id="95" w:name="результаты"/>
    <w:p>
      <w:pPr>
        <w:pStyle w:val="Heading1"/>
      </w:pPr>
      <w:r>
        <w:t xml:space="preserve">Результаты</w:t>
      </w:r>
    </w:p>
    <w:bookmarkStart w:id="94" w:name="полученные-форматы"/>
    <w:p>
      <w:pPr>
        <w:pStyle w:val="Heading2"/>
      </w:pPr>
      <w:r>
        <w:t xml:space="preserve">Полученные форматы</w:t>
      </w:r>
    </w:p>
    <w:p>
      <w:pPr>
        <w:pStyle w:val="Compact"/>
        <w:numPr>
          <w:ilvl w:val="0"/>
          <w:numId w:val="1012"/>
        </w:numPr>
      </w:pPr>
      <w:r>
        <w:t xml:space="preserve">Детерминированная и стохастическая симуляции дают согласованные результаты при большой популяции</w:t>
      </w:r>
    </w:p>
    <w:p>
      <w:pPr>
        <w:pStyle w:val="Compact"/>
        <w:numPr>
          <w:ilvl w:val="0"/>
          <w:numId w:val="1012"/>
        </w:numPr>
      </w:pPr>
      <w:r>
        <w:t xml:space="preserve">Параметр β имеет пороговый характер: при малых значениях эпидемия не возникает</w:t>
      </w:r>
    </w:p>
    <w:p>
      <w:pPr>
        <w:pStyle w:val="Compact"/>
        <w:numPr>
          <w:ilvl w:val="0"/>
          <w:numId w:val="1012"/>
        </w:numPr>
      </w:pPr>
      <w:r>
        <w:t xml:space="preserve">Создана анимация, наглядно показывающая волну инфекции</w:t>
      </w:r>
    </w:p>
    <w:p>
      <w:pPr>
        <w:pStyle w:val="Compact"/>
        <w:numPr>
          <w:ilvl w:val="0"/>
          <w:numId w:val="1012"/>
        </w:numPr>
      </w:pPr>
      <w:r>
        <w:t xml:space="preserve">Код успешно преобразован в литературный стиль и в форматы .ipynb, .qmd</w:t>
      </w:r>
    </w:p>
    <w:bookmarkEnd w:id="94"/>
    <w:bookmarkEnd w:id="95"/>
    <w:bookmarkStart w:id="102" w:name="элементы-презентации"/>
    <w:p>
      <w:pPr>
        <w:pStyle w:val="Heading1"/>
      </w:pPr>
      <w:r>
        <w:t xml:space="preserve">Элементы презентации</w:t>
      </w:r>
    </w:p>
    <w:bookmarkStart w:id="96" w:name="актуальность-1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13"/>
        </w:numPr>
      </w:pPr>
      <w:r>
        <w:t xml:space="preserve">Модель SIR — классическая основа для эпидемиологического прогнозирования</w:t>
      </w:r>
    </w:p>
    <w:p>
      <w:pPr>
        <w:pStyle w:val="Compact"/>
        <w:numPr>
          <w:ilvl w:val="0"/>
          <w:numId w:val="1013"/>
        </w:numPr>
      </w:pPr>
      <w:r>
        <w:t xml:space="preserve">Сети Петри удобны для параллельных процессов и проверки моделей</w:t>
      </w:r>
    </w:p>
    <w:p>
      <w:pPr>
        <w:pStyle w:val="Compact"/>
        <w:numPr>
          <w:ilvl w:val="0"/>
          <w:numId w:val="1013"/>
        </w:numPr>
      </w:pPr>
      <w:r>
        <w:t xml:space="preserve">Детерминированный и стохастический подходы дополняют друг друга</w:t>
      </w:r>
    </w:p>
    <w:p>
      <w:pPr>
        <w:pStyle w:val="Compact"/>
        <w:numPr>
          <w:ilvl w:val="0"/>
          <w:numId w:val="1013"/>
        </w:numPr>
      </w:pPr>
      <w:r>
        <w:t xml:space="preserve">Литературное программирование повышает воспроизводимость исследований</w:t>
      </w:r>
    </w:p>
    <w:bookmarkEnd w:id="96"/>
    <w:bookmarkStart w:id="97" w:name="цели-и-задачи-повтор"/>
    <w:p>
      <w:pPr>
        <w:pStyle w:val="Heading2"/>
      </w:pPr>
      <w:r>
        <w:t xml:space="preserve">Цели и задачи (повтор)</w:t>
      </w:r>
    </w:p>
    <w:p>
      <w:pPr>
        <w:pStyle w:val="Compact"/>
        <w:numPr>
          <w:ilvl w:val="0"/>
          <w:numId w:val="1014"/>
        </w:numPr>
      </w:pPr>
      <w:r>
        <w:t xml:space="preserve">Реализовать модель SIR на сетях Петри в Julia</w:t>
      </w:r>
    </w:p>
    <w:p>
      <w:pPr>
        <w:pStyle w:val="Compact"/>
        <w:numPr>
          <w:ilvl w:val="0"/>
          <w:numId w:val="1014"/>
        </w:numPr>
      </w:pPr>
      <w:r>
        <w:t xml:space="preserve">Провести два типа симуляции и сравнить их</w:t>
      </w:r>
    </w:p>
    <w:p>
      <w:pPr>
        <w:pStyle w:val="Compact"/>
        <w:numPr>
          <w:ilvl w:val="0"/>
          <w:numId w:val="1014"/>
        </w:numPr>
      </w:pPr>
      <w:r>
        <w:t xml:space="preserve">Исследовать чувствительность к β</w:t>
      </w:r>
    </w:p>
    <w:p>
      <w:pPr>
        <w:pStyle w:val="Compact"/>
        <w:numPr>
          <w:ilvl w:val="0"/>
          <w:numId w:val="1014"/>
        </w:numPr>
      </w:pPr>
      <w:r>
        <w:t xml:space="preserve">Автоматизировать генерацию отчётов</w:t>
      </w:r>
    </w:p>
    <w:bookmarkEnd w:id="97"/>
    <w:bookmarkStart w:id="98" w:name="материалы-и-методы-повтор"/>
    <w:p>
      <w:pPr>
        <w:pStyle w:val="Heading2"/>
      </w:pPr>
      <w:r>
        <w:t xml:space="preserve">Материалы и методы (повтор)</w:t>
      </w:r>
    </w:p>
    <w:p>
      <w:pPr>
        <w:pStyle w:val="Compact"/>
        <w:numPr>
          <w:ilvl w:val="0"/>
          <w:numId w:val="1015"/>
        </w:numPr>
      </w:pPr>
      <w:r>
        <w:t xml:space="preserve">Julia + пакеты научных вычислений</w:t>
      </w:r>
    </w:p>
    <w:p>
      <w:pPr>
        <w:pStyle w:val="Compact"/>
        <w:numPr>
          <w:ilvl w:val="0"/>
          <w:numId w:val="1015"/>
        </w:numPr>
      </w:pPr>
      <w:r>
        <w:t xml:space="preserve">Детерминистика: ODE (Tsit5)</w:t>
      </w:r>
    </w:p>
    <w:p>
      <w:pPr>
        <w:pStyle w:val="Compact"/>
        <w:numPr>
          <w:ilvl w:val="0"/>
          <w:numId w:val="1015"/>
        </w:numPr>
      </w:pPr>
      <w:r>
        <w:t xml:space="preserve">Стохастика: алгоритм Гиллеспи</w:t>
      </w:r>
    </w:p>
    <w:p>
      <w:pPr>
        <w:pStyle w:val="Compact"/>
        <w:numPr>
          <w:ilvl w:val="0"/>
          <w:numId w:val="1015"/>
        </w:numPr>
      </w:pPr>
      <w:r>
        <w:t xml:space="preserve">Визуализация: Plots, Graphviz</w:t>
      </w:r>
    </w:p>
    <w:p>
      <w:pPr>
        <w:pStyle w:val="Compact"/>
        <w:numPr>
          <w:ilvl w:val="0"/>
          <w:numId w:val="1015"/>
        </w:numPr>
      </w:pPr>
      <w:r>
        <w:t xml:space="preserve">Генерация отчётов: Literate, Jupyter, Quarto</w:t>
      </w:r>
    </w:p>
    <w:bookmarkEnd w:id="98"/>
    <w:bookmarkStart w:id="99" w:name="содержание-исследования-повтор"/>
    <w:p>
      <w:pPr>
        <w:pStyle w:val="Heading2"/>
      </w:pPr>
      <w:r>
        <w:t xml:space="preserve">Содержание исследования (повтор)</w:t>
      </w:r>
    </w:p>
    <w:p>
      <w:pPr>
        <w:pStyle w:val="Compact"/>
        <w:numPr>
          <w:ilvl w:val="0"/>
          <w:numId w:val="1016"/>
        </w:numPr>
      </w:pPr>
      <w:r>
        <w:t xml:space="preserve">Построение сети Петри</w:t>
      </w:r>
    </w:p>
    <w:p>
      <w:pPr>
        <w:pStyle w:val="Compact"/>
        <w:numPr>
          <w:ilvl w:val="0"/>
          <w:numId w:val="1016"/>
        </w:numPr>
      </w:pPr>
      <w:r>
        <w:t xml:space="preserve">Детерминированная и стохастическая симуляции</w:t>
      </w:r>
    </w:p>
    <w:p>
      <w:pPr>
        <w:pStyle w:val="Compact"/>
        <w:numPr>
          <w:ilvl w:val="0"/>
          <w:numId w:val="1016"/>
        </w:numPr>
      </w:pPr>
      <w:r>
        <w:t xml:space="preserve">Сканирование параметра β</w:t>
      </w:r>
    </w:p>
    <w:p>
      <w:pPr>
        <w:pStyle w:val="Compact"/>
        <w:numPr>
          <w:ilvl w:val="0"/>
          <w:numId w:val="1016"/>
        </w:numPr>
      </w:pPr>
      <w:r>
        <w:t xml:space="preserve">Создание анимации</w:t>
      </w:r>
    </w:p>
    <w:p>
      <w:pPr>
        <w:pStyle w:val="Compact"/>
        <w:numPr>
          <w:ilvl w:val="0"/>
          <w:numId w:val="1016"/>
        </w:numPr>
      </w:pPr>
      <w:r>
        <w:t xml:space="preserve">Формирование итоговых отчётов</w:t>
      </w:r>
    </w:p>
    <w:p>
      <w:pPr>
        <w:pStyle w:val="Compact"/>
        <w:numPr>
          <w:ilvl w:val="0"/>
          <w:numId w:val="1016"/>
        </w:numPr>
      </w:pPr>
      <w:r>
        <w:t xml:space="preserve">Преобразование в литературный стиль и интеграция в Quarto</w:t>
      </w:r>
    </w:p>
    <w:bookmarkEnd w:id="99"/>
    <w:bookmarkStart w:id="100" w:name="результаты-повтор"/>
    <w:p>
      <w:pPr>
        <w:pStyle w:val="Heading2"/>
      </w:pPr>
      <w:r>
        <w:t xml:space="preserve">Результаты (повтор)</w:t>
      </w:r>
    </w:p>
    <w:p>
      <w:pPr>
        <w:pStyle w:val="Compact"/>
        <w:numPr>
          <w:ilvl w:val="0"/>
          <w:numId w:val="1017"/>
        </w:numPr>
      </w:pPr>
      <w:r>
        <w:t xml:space="preserve">Получены графики динамики S, I, R для обоих типов симуляции</w:t>
      </w:r>
    </w:p>
    <w:p>
      <w:pPr>
        <w:pStyle w:val="Compact"/>
        <w:numPr>
          <w:ilvl w:val="0"/>
          <w:numId w:val="1017"/>
        </w:numPr>
      </w:pPr>
      <w:r>
        <w:t xml:space="preserve">Построена зависимость пика I от β</w:t>
      </w:r>
    </w:p>
    <w:p>
      <w:pPr>
        <w:pStyle w:val="Compact"/>
        <w:numPr>
          <w:ilvl w:val="0"/>
          <w:numId w:val="1017"/>
        </w:numPr>
      </w:pPr>
      <w:r>
        <w:t xml:space="preserve">Создана анимация распространения эпидемии</w:t>
      </w:r>
    </w:p>
    <w:p>
      <w:pPr>
        <w:pStyle w:val="Compact"/>
        <w:numPr>
          <w:ilvl w:val="0"/>
          <w:numId w:val="1017"/>
        </w:numPr>
      </w:pPr>
      <w:r>
        <w:t xml:space="preserve">Сгенерированы Jupyter Notebook и Quarto-документы</w:t>
      </w:r>
    </w:p>
    <w:bookmarkEnd w:id="100"/>
    <w:bookmarkStart w:id="101" w:name="итоговый-слайд"/>
    <w:p>
      <w:pPr>
        <w:pStyle w:val="Heading2"/>
      </w:pPr>
      <w:r>
        <w:t xml:space="preserve">Итоговый слайд</w:t>
      </w:r>
    </w:p>
    <w:p>
      <w:pPr>
        <w:pStyle w:val="FirstParagraph"/>
      </w:pPr>
      <w:r>
        <w:rPr>
          <w:b/>
          <w:bCs/>
        </w:rPr>
        <w:t xml:space="preserve">Главное сообщение</w:t>
      </w:r>
      <w:r>
        <w:br/>
      </w:r>
      <w:r>
        <w:t xml:space="preserve">Сети Петри в сочетании с детерминированным и стохастическим моделированием позволяют гибко и наглядно исследовать эпидемические процессы, а литературное программирование обеспечивает полную воспроизводимость результатов.</w:t>
      </w:r>
    </w:p>
    <w:bookmarkEnd w:id="101"/>
    <w:bookmarkEnd w:id="102"/>
    <w:bookmarkStart w:id="108" w:name="рекомендую"/>
    <w:p>
      <w:pPr>
        <w:pStyle w:val="Heading1"/>
      </w:pPr>
      <w:r>
        <w:t xml:space="preserve">Рекомендую</w:t>
      </w:r>
    </w:p>
    <w:bookmarkStart w:id="103" w:name="принцип-102030"/>
    <w:p>
      <w:pPr>
        <w:pStyle w:val="Heading2"/>
      </w:pPr>
      <w:r>
        <w:t xml:space="preserve">Принцип 10/20/30</w:t>
      </w:r>
    </w:p>
    <w:p>
      <w:pPr>
        <w:pStyle w:val="Compact"/>
        <w:numPr>
          <w:ilvl w:val="0"/>
          <w:numId w:val="1018"/>
        </w:numPr>
      </w:pPr>
      <w:r>
        <w:t xml:space="preserve">10 слайдов (в данной презентации — больше для полноты, но можно сократить)</w:t>
      </w:r>
    </w:p>
    <w:p>
      <w:pPr>
        <w:pStyle w:val="Compact"/>
        <w:numPr>
          <w:ilvl w:val="0"/>
          <w:numId w:val="1018"/>
        </w:numPr>
      </w:pPr>
      <w:r>
        <w:t xml:space="preserve">20 минут на доклад</w:t>
      </w:r>
    </w:p>
    <w:p>
      <w:pPr>
        <w:pStyle w:val="Compact"/>
        <w:numPr>
          <w:ilvl w:val="0"/>
          <w:numId w:val="1018"/>
        </w:numPr>
      </w:pPr>
      <w:r>
        <w:t xml:space="preserve">30 кегль шрифта</w:t>
      </w:r>
    </w:p>
    <w:bookmarkEnd w:id="103"/>
    <w:bookmarkStart w:id="104" w:name="связь-слайдов"/>
    <w:p>
      <w:pPr>
        <w:pStyle w:val="Heading2"/>
      </w:pPr>
      <w:r>
        <w:t xml:space="preserve">Связь слайдов</w:t>
      </w:r>
    </w:p>
    <w:p>
      <w:pPr>
        <w:pStyle w:val="Compact"/>
        <w:numPr>
          <w:ilvl w:val="0"/>
          <w:numId w:val="1019"/>
        </w:numPr>
      </w:pPr>
      <w:r>
        <w:t xml:space="preserve">Один слайд — одна мысль</w:t>
      </w:r>
    </w:p>
    <w:p>
      <w:pPr>
        <w:pStyle w:val="Compact"/>
        <w:numPr>
          <w:ilvl w:val="0"/>
          <w:numId w:val="1019"/>
        </w:numPr>
      </w:pPr>
      <w:r>
        <w:t xml:space="preserve">Каждый слайд имеет заголовок</w:t>
      </w:r>
    </w:p>
    <w:p>
      <w:pPr>
        <w:pStyle w:val="Compact"/>
        <w:numPr>
          <w:ilvl w:val="0"/>
          <w:numId w:val="1019"/>
        </w:numPr>
      </w:pPr>
      <w:r>
        <w:t xml:space="preserve">Не ссылаться на объекты с предыдущих слайдов</w:t>
      </w:r>
    </w:p>
    <w:bookmarkEnd w:id="104"/>
    <w:bookmarkStart w:id="105" w:name="количество-сущностей"/>
    <w:p>
      <w:pPr>
        <w:pStyle w:val="Heading2"/>
      </w:pPr>
      <w:r>
        <w:t xml:space="preserve">Количество сущностей</w:t>
      </w:r>
    </w:p>
    <w:p>
      <w:pPr>
        <w:pStyle w:val="Compact"/>
        <w:numPr>
          <w:ilvl w:val="0"/>
          <w:numId w:val="1020"/>
        </w:numPr>
      </w:pPr>
      <w:r>
        <w:t xml:space="preserve">Человек помнит 7±2 элемента</w:t>
      </w:r>
    </w:p>
    <w:p>
      <w:pPr>
        <w:pStyle w:val="Compact"/>
        <w:numPr>
          <w:ilvl w:val="0"/>
          <w:numId w:val="1020"/>
        </w:numPr>
      </w:pPr>
      <w:r>
        <w:t xml:space="preserve">На слайде — не более 5 элементов или 5 групп</w:t>
      </w:r>
    </w:p>
    <w:p>
      <w:pPr>
        <w:pStyle w:val="Compact"/>
        <w:numPr>
          <w:ilvl w:val="0"/>
          <w:numId w:val="1020"/>
        </w:numPr>
      </w:pPr>
      <w:r>
        <w:t xml:space="preserve">Группируйте визуально</w:t>
      </w:r>
    </w:p>
    <w:bookmarkEnd w:id="105"/>
    <w:bookmarkStart w:id="106" w:name="общие-рекомендации"/>
    <w:p>
      <w:pPr>
        <w:pStyle w:val="Heading2"/>
      </w:pPr>
      <w:r>
        <w:t xml:space="preserve">Общие рекомендации</w:t>
      </w:r>
    </w:p>
    <w:p>
      <w:pPr>
        <w:pStyle w:val="Compact"/>
        <w:numPr>
          <w:ilvl w:val="0"/>
          <w:numId w:val="1021"/>
        </w:numPr>
      </w:pPr>
      <w:r>
        <w:t xml:space="preserve">Слайды дополняют выступление, а не дублируют его</w:t>
      </w:r>
    </w:p>
    <w:p>
      <w:pPr>
        <w:pStyle w:val="Compact"/>
        <w:numPr>
          <w:ilvl w:val="0"/>
          <w:numId w:val="1021"/>
        </w:numPr>
      </w:pPr>
      <w:r>
        <w:t xml:space="preserve">Информация краткая, чёткая, структурированная</w:t>
      </w:r>
    </w:p>
    <w:p>
      <w:pPr>
        <w:pStyle w:val="Compact"/>
        <w:numPr>
          <w:ilvl w:val="0"/>
          <w:numId w:val="1021"/>
        </w:numPr>
      </w:pPr>
      <w:r>
        <w:t xml:space="preserve">Не перегружать графикой и текстом</w:t>
      </w:r>
    </w:p>
    <w:p>
      <w:pPr>
        <w:pStyle w:val="Compact"/>
        <w:numPr>
          <w:ilvl w:val="0"/>
          <w:numId w:val="1021"/>
        </w:numPr>
      </w:pPr>
      <w:r>
        <w:t xml:space="preserve">Анимация — по минимуму</w:t>
      </w:r>
    </w:p>
    <w:bookmarkEnd w:id="106"/>
    <w:bookmarkStart w:id="107" w:name="представление-данных"/>
    <w:p>
      <w:pPr>
        <w:pStyle w:val="Heading2"/>
      </w:pPr>
      <w:r>
        <w:t xml:space="preserve">Представление данных</w:t>
      </w:r>
    </w:p>
    <w:p>
      <w:pPr>
        <w:pStyle w:val="Compact"/>
        <w:numPr>
          <w:ilvl w:val="0"/>
          <w:numId w:val="1022"/>
        </w:numPr>
      </w:pPr>
      <w:r>
        <w:t xml:space="preserve">Лучше: схема</w:t>
      </w:r>
    </w:p>
    <w:p>
      <w:pPr>
        <w:pStyle w:val="Compact"/>
        <w:numPr>
          <w:ilvl w:val="0"/>
          <w:numId w:val="1022"/>
        </w:numPr>
      </w:pPr>
      <w:r>
        <w:t xml:space="preserve">Хорошо: рисунок, график, таблица</w:t>
      </w:r>
    </w:p>
    <w:p>
      <w:pPr>
        <w:pStyle w:val="Compact"/>
        <w:numPr>
          <w:ilvl w:val="0"/>
          <w:numId w:val="1022"/>
        </w:numPr>
      </w:pPr>
      <w:r>
        <w:t xml:space="preserve">Текст — только если другие способы не подходят</w:t>
      </w:r>
    </w:p>
    <w:p>
      <w:r>
        <w:pict>
          <v:rect style="width:0;height:1.5pt" o:hralign="center" o:hrstd="t" o:hr="t"/>
        </w:pict>
      </w:r>
    </w:p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62" Target="media/rId62.png" /><Relationship Type="http://schemas.openxmlformats.org/officeDocument/2006/relationships/image" Id="rId74" Target="media/rId74.png" /><Relationship Type="http://schemas.openxmlformats.org/officeDocument/2006/relationships/image" Id="rId86" Target="media/rId86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80" Target="media/rId80.png" /><Relationship Type="http://schemas.openxmlformats.org/officeDocument/2006/relationships/image" Id="rId68" Target="media/rId68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hyperlink" Id="rId21" Target="113223601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113223601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2026-04-25T15:41:28Z</dcterms:created>
  <dcterms:modified xsi:type="dcterms:W3CDTF">2026-04-25T15:41:28Z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lia">
    <vt:lpwstr/>
  </property>
  <property fmtid="{D5CDD505-2E9C-101B-9397-08002B2CF9AE}" pid="8" name="labels">
    <vt:lpwstr/>
  </property>
  <property fmtid="{D5CDD505-2E9C-101B-9397-08002B2CF9AE}" pid="9" name="toc-title">
    <vt:lpwstr>Содержание</vt:lpwstr>
  </property>
</Properties>
</file>