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1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41.png" ContentType="image/png"/>
  <Override PartName="/word/media/rId145.png" ContentType="image/png"/>
  <Override PartName="/word/media/rId1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</w:t>
      </w:r>
    </w:p>
    <w:p>
      <w:pPr>
        <w:pStyle w:val="Subtitle"/>
      </w:pPr>
      <w:r>
        <w:t xml:space="preserve">Julia. Установка и настройка. Основные принципы.</w:t>
      </w:r>
    </w:p>
    <w:p>
      <w:pPr>
        <w:pStyle w:val="Author"/>
      </w:pPr>
      <w:r>
        <w:t xml:space="preserve">Тазаева Анастасия Анатольевна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Подготовить рабочее пространство и инструментарий для работы с языком программирования Julia, на простейших примерах познакомиться с основами синтаксиса Julia.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Установите под свою операционную систему Julia, Jupyter (разделы 1.3.1 и 1.3.2).</w:t>
      </w:r>
    </w:p>
    <w:p>
      <w:pPr>
        <w:pStyle w:val="Compact"/>
        <w:numPr>
          <w:ilvl w:val="0"/>
          <w:numId w:val="1001"/>
        </w:numPr>
      </w:pPr>
      <w:r>
        <w:t xml:space="preserve">Используя Jupyter Lab, повторите примеры из раздела 1.3.3.</w:t>
      </w:r>
    </w:p>
    <w:p>
      <w:pPr>
        <w:pStyle w:val="Compact"/>
        <w:numPr>
          <w:ilvl w:val="0"/>
          <w:numId w:val="1001"/>
        </w:numPr>
      </w:pPr>
      <w:r>
        <w:t xml:space="preserve">Выполните задания для самостоятельной работы (раздел 1.3.4).</w:t>
      </w:r>
    </w:p>
    <w:bookmarkEnd w:id="21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6" w:name="X5adf9b6c013e52a64702e9558fe8b002a18a986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необходимого программного обеспечения</w:t>
      </w:r>
    </w:p>
    <w:p>
      <w:pPr>
        <w:pStyle w:val="Compact"/>
        <w:numPr>
          <w:ilvl w:val="0"/>
          <w:numId w:val="1002"/>
        </w:numPr>
      </w:pPr>
      <w:r>
        <w:t xml:space="preserve">Для дальнейшей работы с лабораторными занятиями нам понадобится установить несколько приложений. Для этого установим Chocolatey (рис. 1), Far (рис. 2), Notepad++ (рис. 3), Julia (рис. 4), Anaconda3 (рис. 5) с помощью комманд:</w:t>
      </w:r>
    </w:p>
    <w:p>
      <w:pPr>
        <w:pStyle w:val="SourceCode"/>
      </w:pPr>
      <w:r>
        <w:rPr>
          <w:rStyle w:val="VerbatimChar"/>
        </w:rPr>
        <w:t xml:space="preserve">Set-ExecutionPolicy Bypass -Scope Process -Force; [System.Net.ServicePointManager]::SecurityProtocol = [System.Net.ServicePointManager]::SecurityProtocol -bor 3072; iex ((New-Object System.Net.WebClient).DownloadString('https://community.chocolatey.org/install.ps1'))</w:t>
      </w:r>
      <w:r>
        <w:br/>
      </w:r>
      <w:r>
        <w:br/>
      </w:r>
      <w:r>
        <w:rPr>
          <w:rStyle w:val="VerbatimChar"/>
        </w:rPr>
        <w:t xml:space="preserve">choco install far</w:t>
      </w:r>
      <w:r>
        <w:br/>
      </w:r>
      <w:r>
        <w:br/>
      </w:r>
      <w:r>
        <w:rPr>
          <w:rStyle w:val="VerbatimChar"/>
        </w:rPr>
        <w:t xml:space="preserve">choco install notepadplusplus</w:t>
      </w:r>
      <w:r>
        <w:br/>
      </w:r>
      <w:r>
        <w:br/>
      </w:r>
      <w:r>
        <w:rPr>
          <w:rStyle w:val="VerbatimChar"/>
        </w:rPr>
        <w:t xml:space="preserve">choco install julia</w:t>
      </w:r>
      <w:r>
        <w:br/>
      </w:r>
      <w:r>
        <w:br/>
      </w:r>
      <w:r>
        <w:rPr>
          <w:rStyle w:val="VerbatimChar"/>
        </w:rPr>
        <w:t xml:space="preserve">choco install anaconda3</w:t>
      </w:r>
    </w:p>
    <w:bookmarkStart w:id="25" w:name="fig:001"/>
    <w:p>
      <w:pPr>
        <w:pStyle w:val="CaptionedFigure"/>
      </w:pPr>
      <w:r>
        <w:drawing>
          <wp:inline>
            <wp:extent cx="3733800" cy="2445893"/>
            <wp:effectExtent b="0" l="0" r="0" t="0"/>
            <wp:docPr descr="Рис. 1: Установка Chocolatey" title="" id="23" name="Picture"/>
            <a:graphic>
              <a:graphicData uri="http://schemas.openxmlformats.org/drawingml/2006/picture">
                <pic:pic>
                  <pic:nvPicPr>
                    <pic:cNvPr descr="image/1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5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Chocolatey</w:t>
      </w:r>
    </w:p>
    <w:bookmarkEnd w:id="25"/>
    <w:bookmarkStart w:id="29" w:name="fig:002"/>
    <w:p>
      <w:pPr>
        <w:pStyle w:val="CaptionedFigure"/>
      </w:pPr>
      <w:r>
        <w:drawing>
          <wp:inline>
            <wp:extent cx="3733800" cy="1935201"/>
            <wp:effectExtent b="0" l="0" r="0" t="0"/>
            <wp:docPr descr="Рис. 2: Установка Far" title="" id="27" name="Picture"/>
            <a:graphic>
              <a:graphicData uri="http://schemas.openxmlformats.org/drawingml/2006/picture">
                <pic:pic>
                  <pic:nvPicPr>
                    <pic:cNvPr descr="image/1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5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Far</w:t>
      </w:r>
    </w:p>
    <w:bookmarkEnd w:id="29"/>
    <w:bookmarkStart w:id="33" w:name="fig:003"/>
    <w:p>
      <w:pPr>
        <w:pStyle w:val="CaptionedFigure"/>
      </w:pPr>
      <w:r>
        <w:drawing>
          <wp:inline>
            <wp:extent cx="3733800" cy="2736079"/>
            <wp:effectExtent b="0" l="0" r="0" t="0"/>
            <wp:docPr descr="Рис. 3: Установка Notepad++" title="" id="31" name="Picture"/>
            <a:graphic>
              <a:graphicData uri="http://schemas.openxmlformats.org/drawingml/2006/picture">
                <pic:pic>
                  <pic:nvPicPr>
                    <pic:cNvPr descr="image/1_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Notepad++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1597822"/>
            <wp:effectExtent b="0" l="0" r="0" t="0"/>
            <wp:docPr descr="Рис. 4: Установка Julia" title="" id="35" name="Picture"/>
            <a:graphic>
              <a:graphicData uri="http://schemas.openxmlformats.org/drawingml/2006/picture">
                <pic:pic>
                  <pic:nvPicPr>
                    <pic:cNvPr descr="image/1_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Julia</w:t>
      </w:r>
    </w:p>
    <w:bookmarkEnd w:id="37"/>
    <w:bookmarkStart w:id="41" w:name="fig:005"/>
    <w:p>
      <w:pPr>
        <w:pStyle w:val="CaptionedFigure"/>
      </w:pPr>
      <w:r>
        <w:drawing>
          <wp:inline>
            <wp:extent cx="3733800" cy="1123824"/>
            <wp:effectExtent b="0" l="0" r="0" t="0"/>
            <wp:docPr descr="Рис. 5: Установка Anaconda3" title="" id="39" name="Picture"/>
            <a:graphic>
              <a:graphicData uri="http://schemas.openxmlformats.org/drawingml/2006/picture">
                <pic:pic>
                  <pic:nvPicPr>
                    <pic:cNvPr descr="image/1_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3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Anaconda3</w:t>
      </w:r>
    </w:p>
    <w:bookmarkEnd w:id="41"/>
    <w:p>
      <w:pPr>
        <w:pStyle w:val="Compact"/>
        <w:numPr>
          <w:ilvl w:val="0"/>
          <w:numId w:val="1003"/>
        </w:numPr>
      </w:pPr>
      <w:r>
        <w:t xml:space="preserve">Также установим пакет IJulia (рис. 6) для работы в Jupyter :</w:t>
      </w:r>
    </w:p>
    <w:bookmarkStart w:id="45" w:name="fig:006"/>
    <w:p>
      <w:pPr>
        <w:pStyle w:val="CaptionedFigure"/>
      </w:pPr>
      <w:r>
        <w:drawing>
          <wp:inline>
            <wp:extent cx="3733800" cy="2029239"/>
            <wp:effectExtent b="0" l="0" r="0" t="0"/>
            <wp:docPr descr="Рис. 6: Установка IJulia" title="" id="43" name="Picture"/>
            <a:graphic>
              <a:graphicData uri="http://schemas.openxmlformats.org/drawingml/2006/picture">
                <pic:pic>
                  <pic:nvPicPr>
                    <pic:cNvPr descr="image/1_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9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IJulia</w:t>
      </w:r>
    </w:p>
    <w:bookmarkEnd w:id="45"/>
    <w:bookmarkEnd w:id="46"/>
    <w:bookmarkStart w:id="63" w:name="основы-работы-в-блокноте-jupyte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Основы работы в блокноте Jupyter</w:t>
      </w:r>
    </w:p>
    <w:p>
      <w:pPr>
        <w:pStyle w:val="Compact"/>
        <w:numPr>
          <w:ilvl w:val="0"/>
          <w:numId w:val="1004"/>
        </w:numPr>
      </w:pPr>
      <w:r>
        <w:t xml:space="preserve">Создала файл, указала ядро Julia 1.10.15 (рис. 7), далее опробовала комбинации клавиш, представленные в файле лаб.работы</w:t>
      </w:r>
    </w:p>
    <w:bookmarkStart w:id="50" w:name="fig:007"/>
    <w:p>
      <w:pPr>
        <w:pStyle w:val="CaptionedFigure"/>
      </w:pPr>
      <w:r>
        <w:drawing>
          <wp:inline>
            <wp:extent cx="3733800" cy="1529217"/>
            <wp:effectExtent b="0" l="0" r="0" t="0"/>
            <wp:docPr descr="Рис. 7: Создание файла. Разминка" title="" id="48" name="Picture"/>
            <a:graphic>
              <a:graphicData uri="http://schemas.openxmlformats.org/drawingml/2006/picture">
                <pic:pic>
                  <pic:nvPicPr>
                    <pic:cNvPr descr="image/2_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файла. Разминка</w:t>
      </w:r>
    </w:p>
    <w:bookmarkEnd w:id="50"/>
    <w:p>
      <w:pPr>
        <w:pStyle w:val="Compact"/>
        <w:numPr>
          <w:ilvl w:val="0"/>
          <w:numId w:val="1005"/>
        </w:numPr>
      </w:pPr>
      <w:r>
        <w:t xml:space="preserve">Выполнила простейшие операции на языке Julia в Jupyter Lab (рис. 8)</w:t>
      </w:r>
    </w:p>
    <w:bookmarkStart w:id="54" w:name="fig:008"/>
    <w:p>
      <w:pPr>
        <w:pStyle w:val="CaptionedFigure"/>
      </w:pPr>
      <w:r>
        <w:drawing>
          <wp:inline>
            <wp:extent cx="3733800" cy="2044699"/>
            <wp:effectExtent b="0" l="0" r="0" t="0"/>
            <wp:docPr descr="Рис. 8: Простейшие операции на языке Julia в Jupyter" title="" id="52" name="Picture"/>
            <a:graphic>
              <a:graphicData uri="http://schemas.openxmlformats.org/drawingml/2006/picture">
                <pic:pic>
                  <pic:nvPicPr>
                    <pic:cNvPr descr="image/2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4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Простейшие операции на языке Julia в Jupyter</w:t>
      </w:r>
    </w:p>
    <w:bookmarkEnd w:id="54"/>
    <w:p>
      <w:pPr>
        <w:pStyle w:val="Compact"/>
        <w:numPr>
          <w:ilvl w:val="0"/>
          <w:numId w:val="1006"/>
        </w:numPr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?</w:t>
      </w:r>
      <w:r>
        <w:t xml:space="preserve"> </w:t>
      </w:r>
      <w:r>
        <w:t xml:space="preserve">получила информацию по функции (рис. 9):</w:t>
      </w:r>
    </w:p>
    <w:bookmarkStart w:id="58" w:name="fig:009"/>
    <w:p>
      <w:pPr>
        <w:pStyle w:val="CaptionedFigure"/>
      </w:pPr>
      <w:r>
        <w:drawing>
          <wp:inline>
            <wp:extent cx="3733800" cy="2577219"/>
            <wp:effectExtent b="0" l="0" r="0" t="0"/>
            <wp:docPr descr="Рис. 9: Пример получения информации по функции println на языке Julia в Jupyter Lab" title="" id="56" name="Picture"/>
            <a:graphic>
              <a:graphicData uri="http://schemas.openxmlformats.org/drawingml/2006/picture">
                <pic:pic>
                  <pic:nvPicPr>
                    <pic:cNvPr descr="image/2_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7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Пример получения информации по функции println на языке Julia в Jupyter Lab</w:t>
      </w:r>
    </w:p>
    <w:bookmarkEnd w:id="58"/>
    <w:p>
      <w:pPr>
        <w:pStyle w:val="Compact"/>
        <w:numPr>
          <w:ilvl w:val="0"/>
          <w:numId w:val="1007"/>
        </w:numPr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;</w:t>
      </w:r>
      <w:r>
        <w:t xml:space="preserve"> </w:t>
      </w:r>
      <w:r>
        <w:t xml:space="preserve">получила информацию о пользователе. Эта команда может использовать команды из командной оболочки вашей операционной системы (рис. 10):</w:t>
      </w:r>
    </w:p>
    <w:bookmarkStart w:id="62" w:name="fig:010"/>
    <w:p>
      <w:pPr>
        <w:pStyle w:val="CaptionedFigure"/>
      </w:pPr>
      <w:r>
        <w:drawing>
          <wp:inline>
            <wp:extent cx="3733800" cy="332917"/>
            <wp:effectExtent b="0" l="0" r="0" t="0"/>
            <wp:docPr descr="Рис. 10: Пример получения информации о пользователе на языке Julia в Jupyter Lab" title="" id="60" name="Picture"/>
            <a:graphic>
              <a:graphicData uri="http://schemas.openxmlformats.org/drawingml/2006/picture">
                <pic:pic>
                  <pic:nvPicPr>
                    <pic:cNvPr descr="image/2_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Пример получения информации о пользователе на языке Julia в Jupyter Lab</w:t>
      </w:r>
    </w:p>
    <w:bookmarkEnd w:id="62"/>
    <w:bookmarkEnd w:id="63"/>
    <w:bookmarkStart w:id="80" w:name="повторение-примеров-из-раздела-1.3.3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Повторение примеров из раздела 1.3.3</w:t>
      </w:r>
    </w:p>
    <w:p>
      <w:pPr>
        <w:pStyle w:val="Compact"/>
        <w:numPr>
          <w:ilvl w:val="0"/>
          <w:numId w:val="1008"/>
        </w:numPr>
      </w:pPr>
      <w:r>
        <w:t xml:space="preserve">Узнала как определять тип данных (рис. 11), как конвертировать данные (рис. 12), как создавать функции (рис. 13), как создавать матрицы, также провела операции над матрицами (рис. 14).</w:t>
      </w:r>
    </w:p>
    <w:bookmarkStart w:id="67" w:name="fig:011"/>
    <w:p>
      <w:pPr>
        <w:pStyle w:val="CaptionedFigure"/>
      </w:pPr>
      <w:r>
        <w:drawing>
          <wp:inline>
            <wp:extent cx="3733800" cy="2955501"/>
            <wp:effectExtent b="0" l="0" r="0" t="0"/>
            <wp:docPr descr="Рис. 11: Примеры определения типа числовых величин" title="" id="65" name="Picture"/>
            <a:graphic>
              <a:graphicData uri="http://schemas.openxmlformats.org/drawingml/2006/picture">
                <pic:pic>
                  <pic:nvPicPr>
                    <pic:cNvPr descr="image/3_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5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Примеры определения типа числовых величин</w:t>
      </w:r>
    </w:p>
    <w:bookmarkEnd w:id="67"/>
    <w:bookmarkStart w:id="71" w:name="fig:012"/>
    <w:p>
      <w:pPr>
        <w:pStyle w:val="CaptionedFigure"/>
      </w:pPr>
      <w:r>
        <w:drawing>
          <wp:inline>
            <wp:extent cx="3733800" cy="1900561"/>
            <wp:effectExtent b="0" l="0" r="0" t="0"/>
            <wp:docPr descr="Рис. 12: Примеры приведения аргументов к одному типу" title="" id="69" name="Picture"/>
            <a:graphic>
              <a:graphicData uri="http://schemas.openxmlformats.org/drawingml/2006/picture">
                <pic:pic>
                  <pic:nvPicPr>
                    <pic:cNvPr descr="image/3_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0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Примеры приведения аргументов к одному типу</w:t>
      </w:r>
    </w:p>
    <w:bookmarkEnd w:id="71"/>
    <w:bookmarkStart w:id="75" w:name="fig:013"/>
    <w:p>
      <w:pPr>
        <w:pStyle w:val="CaptionedFigure"/>
      </w:pPr>
      <w:r>
        <w:drawing>
          <wp:inline>
            <wp:extent cx="3733800" cy="1145241"/>
            <wp:effectExtent b="0" l="0" r="0" t="0"/>
            <wp:docPr descr="Рис. 13: Примеры определения функций" title="" id="73" name="Picture"/>
            <a:graphic>
              <a:graphicData uri="http://schemas.openxmlformats.org/drawingml/2006/picture">
                <pic:pic>
                  <pic:nvPicPr>
                    <pic:cNvPr descr="image/3_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5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Примеры определения функций</w:t>
      </w:r>
    </w:p>
    <w:bookmarkEnd w:id="75"/>
    <w:bookmarkStart w:id="79" w:name="fig:014"/>
    <w:p>
      <w:pPr>
        <w:pStyle w:val="CaptionedFigure"/>
      </w:pPr>
      <w:r>
        <w:drawing>
          <wp:inline>
            <wp:extent cx="3733800" cy="2585748"/>
            <wp:effectExtent b="0" l="0" r="0" t="0"/>
            <wp:docPr descr="Рис. 14: Примеры работы с массивами" title="" id="77" name="Picture"/>
            <a:graphic>
              <a:graphicData uri="http://schemas.openxmlformats.org/drawingml/2006/picture">
                <pic:pic>
                  <pic:nvPicPr>
                    <pic:cNvPr descr="image/3_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5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Примеры работы с массивами</w:t>
      </w:r>
    </w:p>
    <w:bookmarkEnd w:id="79"/>
    <w:bookmarkEnd w:id="80"/>
    <w:bookmarkStart w:id="156" w:name="самостоятельная-работ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Самостоятельная работа</w:t>
      </w:r>
    </w:p>
    <w:p>
      <w:pPr>
        <w:pStyle w:val="Compact"/>
        <w:numPr>
          <w:ilvl w:val="0"/>
          <w:numId w:val="1009"/>
        </w:numPr>
      </w:pPr>
      <w:r>
        <w:t xml:space="preserve">Изучила документацию по основным функциям Julia для чтения / записи / вывода информации на экран и привела свои примеры их использования:</w:t>
      </w:r>
    </w:p>
    <w:p>
      <w:pPr>
        <w:pStyle w:val="Compact"/>
        <w:numPr>
          <w:ilvl w:val="0"/>
          <w:numId w:val="1010"/>
        </w:numPr>
      </w:pPr>
      <w:r>
        <w:t xml:space="preserve">read() (рис. 15 и 16);</w:t>
      </w:r>
    </w:p>
    <w:bookmarkStart w:id="84" w:name="fig:015"/>
    <w:p>
      <w:pPr>
        <w:pStyle w:val="CaptionedFigure"/>
      </w:pPr>
      <w:r>
        <w:drawing>
          <wp:inline>
            <wp:extent cx="3733800" cy="3240854"/>
            <wp:effectExtent b="0" l="0" r="0" t="0"/>
            <wp:docPr descr="Рис. 15: Функция read(). Информация" title="" id="82" name="Picture"/>
            <a:graphic>
              <a:graphicData uri="http://schemas.openxmlformats.org/drawingml/2006/picture">
                <pic:pic>
                  <pic:nvPicPr>
                    <pic:cNvPr descr="image/4_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Функция read(). Информация</w:t>
      </w:r>
    </w:p>
    <w:bookmarkEnd w:id="84"/>
    <w:bookmarkStart w:id="88" w:name="fig:016"/>
    <w:p>
      <w:pPr>
        <w:pStyle w:val="CaptionedFigure"/>
      </w:pPr>
      <w:r>
        <w:drawing>
          <wp:inline>
            <wp:extent cx="3733800" cy="513728"/>
            <wp:effectExtent b="0" l="0" r="0" t="0"/>
            <wp:docPr descr="Рис. 16: Функция read(). Пример" title="" id="86" name="Picture"/>
            <a:graphic>
              <a:graphicData uri="http://schemas.openxmlformats.org/drawingml/2006/picture">
                <pic:pic>
                  <pic:nvPicPr>
                    <pic:cNvPr descr="image/4_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3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Функция read(). Пример</w:t>
      </w:r>
    </w:p>
    <w:bookmarkEnd w:id="88"/>
    <w:p>
      <w:pPr>
        <w:pStyle w:val="Compact"/>
        <w:numPr>
          <w:ilvl w:val="0"/>
          <w:numId w:val="1011"/>
        </w:numPr>
      </w:pPr>
      <w:r>
        <w:t xml:space="preserve">readline() (рис. 17 и 18);</w:t>
      </w:r>
    </w:p>
    <w:bookmarkStart w:id="92" w:name="fig:017"/>
    <w:p>
      <w:pPr>
        <w:pStyle w:val="CaptionedFigure"/>
      </w:pPr>
      <w:r>
        <w:drawing>
          <wp:inline>
            <wp:extent cx="3733800" cy="2925778"/>
            <wp:effectExtent b="0" l="0" r="0" t="0"/>
            <wp:docPr descr="Рис. 17: Функция readline(). Информация" title="" id="90" name="Picture"/>
            <a:graphic>
              <a:graphicData uri="http://schemas.openxmlformats.org/drawingml/2006/picture">
                <pic:pic>
                  <pic:nvPicPr>
                    <pic:cNvPr descr="image/4_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5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Функция readline(). Информация</w:t>
      </w:r>
    </w:p>
    <w:bookmarkEnd w:id="92"/>
    <w:bookmarkStart w:id="96" w:name="fig:018"/>
    <w:p>
      <w:pPr>
        <w:pStyle w:val="CaptionedFigure"/>
      </w:pPr>
      <w:r>
        <w:drawing>
          <wp:inline>
            <wp:extent cx="3733800" cy="1104953"/>
            <wp:effectExtent b="0" l="0" r="0" t="0"/>
            <wp:docPr descr="Рис. 18: Функция readline(). Пример" title="" id="94" name="Picture"/>
            <a:graphic>
              <a:graphicData uri="http://schemas.openxmlformats.org/drawingml/2006/picture">
                <pic:pic>
                  <pic:nvPicPr>
                    <pic:cNvPr descr="image/4_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4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Функция readline(). Пример</w:t>
      </w:r>
    </w:p>
    <w:bookmarkEnd w:id="96"/>
    <w:p>
      <w:pPr>
        <w:pStyle w:val="Compact"/>
        <w:numPr>
          <w:ilvl w:val="0"/>
          <w:numId w:val="1012"/>
        </w:numPr>
      </w:pPr>
      <w:r>
        <w:t xml:space="preserve">readlines() (рис. 19 и 20);</w:t>
      </w:r>
    </w:p>
    <w:bookmarkStart w:id="100" w:name="fig:019"/>
    <w:p>
      <w:pPr>
        <w:pStyle w:val="CaptionedFigure"/>
      </w:pPr>
      <w:r>
        <w:drawing>
          <wp:inline>
            <wp:extent cx="3733800" cy="2627878"/>
            <wp:effectExtent b="0" l="0" r="0" t="0"/>
            <wp:docPr descr="Рис. 19: Функция readlines(). Информация" title="" id="98" name="Picture"/>
            <a:graphic>
              <a:graphicData uri="http://schemas.openxmlformats.org/drawingml/2006/picture">
                <pic:pic>
                  <pic:nvPicPr>
                    <pic:cNvPr descr="image/4_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Функция readlines(). Информация</w:t>
      </w:r>
    </w:p>
    <w:bookmarkEnd w:id="100"/>
    <w:bookmarkStart w:id="104" w:name="fig:020"/>
    <w:p>
      <w:pPr>
        <w:pStyle w:val="CaptionedFigure"/>
      </w:pPr>
      <w:r>
        <w:drawing>
          <wp:inline>
            <wp:extent cx="3733800" cy="622299"/>
            <wp:effectExtent b="0" l="0" r="0" t="0"/>
            <wp:docPr descr="Рис. 20: Функция readlines(). Пример" title="" id="102" name="Picture"/>
            <a:graphic>
              <a:graphicData uri="http://schemas.openxmlformats.org/drawingml/2006/picture">
                <pic:pic>
                  <pic:nvPicPr>
                    <pic:cNvPr descr="image/4_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Функция readlines(). Пример</w:t>
      </w:r>
    </w:p>
    <w:bookmarkEnd w:id="104"/>
    <w:p>
      <w:pPr>
        <w:pStyle w:val="Compact"/>
        <w:numPr>
          <w:ilvl w:val="0"/>
          <w:numId w:val="1013"/>
        </w:numPr>
      </w:pPr>
      <w:r>
        <w:t xml:space="preserve">readdlm() (рис. 21). Здесь информация не была предоставлена, потому и нет примера;</w:t>
      </w:r>
    </w:p>
    <w:bookmarkStart w:id="108" w:name="fig:021"/>
    <w:p>
      <w:pPr>
        <w:pStyle w:val="CaptionedFigure"/>
      </w:pPr>
      <w:r>
        <w:drawing>
          <wp:inline>
            <wp:extent cx="3733800" cy="537920"/>
            <wp:effectExtent b="0" l="0" r="0" t="0"/>
            <wp:docPr descr="Рис. 21: Функция readdlm(). Информация не получена" title="" id="106" name="Picture"/>
            <a:graphic>
              <a:graphicData uri="http://schemas.openxmlformats.org/drawingml/2006/picture">
                <pic:pic>
                  <pic:nvPicPr>
                    <pic:cNvPr descr="image/4_7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Функция readdlm(). Информация не получена</w:t>
      </w:r>
    </w:p>
    <w:bookmarkEnd w:id="108"/>
    <w:p>
      <w:pPr>
        <w:pStyle w:val="Compact"/>
        <w:numPr>
          <w:ilvl w:val="0"/>
          <w:numId w:val="1014"/>
        </w:numPr>
      </w:pPr>
      <w:r>
        <w:t xml:space="preserve">print() (рис. 22 и 23);</w:t>
      </w:r>
    </w:p>
    <w:bookmarkStart w:id="112" w:name="fig:022"/>
    <w:p>
      <w:pPr>
        <w:pStyle w:val="CaptionedFigure"/>
      </w:pPr>
      <w:r>
        <w:drawing>
          <wp:inline>
            <wp:extent cx="3733800" cy="2614720"/>
            <wp:effectExtent b="0" l="0" r="0" t="0"/>
            <wp:docPr descr="Рис. 22: Функция print(). Информация" title="" id="110" name="Picture"/>
            <a:graphic>
              <a:graphicData uri="http://schemas.openxmlformats.org/drawingml/2006/picture">
                <pic:pic>
                  <pic:nvPicPr>
                    <pic:cNvPr descr="image/4_8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4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Функция print(). Информация</w:t>
      </w:r>
    </w:p>
    <w:bookmarkEnd w:id="112"/>
    <w:bookmarkStart w:id="116" w:name="fig:023"/>
    <w:p>
      <w:pPr>
        <w:pStyle w:val="CaptionedFigure"/>
      </w:pPr>
      <w:r>
        <w:drawing>
          <wp:inline>
            <wp:extent cx="3733800" cy="794425"/>
            <wp:effectExtent b="0" l="0" r="0" t="0"/>
            <wp:docPr descr="Рис. 23: Функция print(). Пример" title="" id="114" name="Picture"/>
            <a:graphic>
              <a:graphicData uri="http://schemas.openxmlformats.org/drawingml/2006/picture">
                <pic:pic>
                  <pic:nvPicPr>
                    <pic:cNvPr descr="image/4_9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4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Функция print(). Пример</w:t>
      </w:r>
    </w:p>
    <w:bookmarkEnd w:id="116"/>
    <w:p>
      <w:pPr>
        <w:pStyle w:val="Compact"/>
        <w:numPr>
          <w:ilvl w:val="0"/>
          <w:numId w:val="1015"/>
        </w:numPr>
      </w:pPr>
      <w:r>
        <w:t xml:space="preserve">println() (рис. 24 и 25);</w:t>
      </w:r>
    </w:p>
    <w:bookmarkStart w:id="120" w:name="fig:024"/>
    <w:p>
      <w:pPr>
        <w:pStyle w:val="CaptionedFigure"/>
      </w:pPr>
      <w:r>
        <w:drawing>
          <wp:inline>
            <wp:extent cx="3733800" cy="2160005"/>
            <wp:effectExtent b="0" l="0" r="0" t="0"/>
            <wp:docPr descr="Рис. 24: Функция println(). Информация" title="" id="118" name="Picture"/>
            <a:graphic>
              <a:graphicData uri="http://schemas.openxmlformats.org/drawingml/2006/picture">
                <pic:pic>
                  <pic:nvPicPr>
                    <pic:cNvPr descr="image/4_10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0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Функция println(). Информация</w:t>
      </w:r>
    </w:p>
    <w:bookmarkEnd w:id="120"/>
    <w:bookmarkStart w:id="124" w:name="fig:025"/>
    <w:p>
      <w:pPr>
        <w:pStyle w:val="CaptionedFigure"/>
      </w:pPr>
      <w:r>
        <w:drawing>
          <wp:inline>
            <wp:extent cx="3733800" cy="961565"/>
            <wp:effectExtent b="0" l="0" r="0" t="0"/>
            <wp:docPr descr="Рис. 25: Функция println(). Пример" title="" id="122" name="Picture"/>
            <a:graphic>
              <a:graphicData uri="http://schemas.openxmlformats.org/drawingml/2006/picture">
                <pic:pic>
                  <pic:nvPicPr>
                    <pic:cNvPr descr="image/4_1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1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Функция println(). Пример</w:t>
      </w:r>
    </w:p>
    <w:bookmarkEnd w:id="124"/>
    <w:p>
      <w:pPr>
        <w:pStyle w:val="Compact"/>
        <w:numPr>
          <w:ilvl w:val="0"/>
          <w:numId w:val="1016"/>
        </w:numPr>
      </w:pPr>
      <w:r>
        <w:t xml:space="preserve">show() (рис. 26 и 27);</w:t>
      </w:r>
    </w:p>
    <w:bookmarkStart w:id="128" w:name="fig:026"/>
    <w:p>
      <w:pPr>
        <w:pStyle w:val="CaptionedFigure"/>
      </w:pPr>
      <w:r>
        <w:drawing>
          <wp:inline>
            <wp:extent cx="3733800" cy="3466718"/>
            <wp:effectExtent b="0" l="0" r="0" t="0"/>
            <wp:docPr descr="Рис. 26: Функция show(). Информация" title="" id="126" name="Picture"/>
            <a:graphic>
              <a:graphicData uri="http://schemas.openxmlformats.org/drawingml/2006/picture">
                <pic:pic>
                  <pic:nvPicPr>
                    <pic:cNvPr descr="image/4_12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6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Функция show(). Информация</w:t>
      </w:r>
    </w:p>
    <w:bookmarkEnd w:id="128"/>
    <w:bookmarkStart w:id="132" w:name="fig:027"/>
    <w:p>
      <w:pPr>
        <w:pStyle w:val="CaptionedFigure"/>
      </w:pPr>
      <w:r>
        <w:drawing>
          <wp:inline>
            <wp:extent cx="3733800" cy="342354"/>
            <wp:effectExtent b="0" l="0" r="0" t="0"/>
            <wp:docPr descr="Рис. 27: Функция show(). Пример" title="" id="130" name="Picture"/>
            <a:graphic>
              <a:graphicData uri="http://schemas.openxmlformats.org/drawingml/2006/picture">
                <pic:pic>
                  <pic:nvPicPr>
                    <pic:cNvPr descr="image/4_13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Функция show(). Пример</w:t>
      </w:r>
    </w:p>
    <w:bookmarkEnd w:id="132"/>
    <w:p>
      <w:pPr>
        <w:pStyle w:val="Compact"/>
        <w:numPr>
          <w:ilvl w:val="0"/>
          <w:numId w:val="1017"/>
        </w:numPr>
      </w:pPr>
      <w:r>
        <w:t xml:space="preserve">write() (рис. 28 и 29).</w:t>
      </w:r>
    </w:p>
    <w:bookmarkStart w:id="136" w:name="fig:028"/>
    <w:p>
      <w:pPr>
        <w:pStyle w:val="CaptionedFigure"/>
      </w:pPr>
      <w:r>
        <w:drawing>
          <wp:inline>
            <wp:extent cx="3733800" cy="2972126"/>
            <wp:effectExtent b="0" l="0" r="0" t="0"/>
            <wp:docPr descr="Рис. 28: Функция write(). Информация" title="" id="134" name="Picture"/>
            <a:graphic>
              <a:graphicData uri="http://schemas.openxmlformats.org/drawingml/2006/picture">
                <pic:pic>
                  <pic:nvPicPr>
                    <pic:cNvPr descr="image/4_14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2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Функция write(). Информация</w:t>
      </w:r>
    </w:p>
    <w:bookmarkEnd w:id="136"/>
    <w:bookmarkStart w:id="140" w:name="fig:029"/>
    <w:p>
      <w:pPr>
        <w:pStyle w:val="CaptionedFigure"/>
      </w:pPr>
      <w:r>
        <w:drawing>
          <wp:inline>
            <wp:extent cx="3733800" cy="622300"/>
            <wp:effectExtent b="0" l="0" r="0" t="0"/>
            <wp:docPr descr="Рис. 29: Функция write(). Пример" title="" id="138" name="Picture"/>
            <a:graphic>
              <a:graphicData uri="http://schemas.openxmlformats.org/drawingml/2006/picture">
                <pic:pic>
                  <pic:nvPicPr>
                    <pic:cNvPr descr="image/4_15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Функция write(). Пример</w:t>
      </w:r>
    </w:p>
    <w:bookmarkEnd w:id="140"/>
    <w:p>
      <w:pPr>
        <w:pStyle w:val="Compact"/>
        <w:numPr>
          <w:ilvl w:val="0"/>
          <w:numId w:val="1018"/>
        </w:numPr>
      </w:pPr>
      <w:r>
        <w:t xml:space="preserve">Изучила документацию по функции parse() (рис. 30). Приведила свои примеры её использования. На рис. 31 видно, что тип строки не получается конвертировать, потому сначала его нужна спарсить.</w:t>
      </w:r>
    </w:p>
    <w:bookmarkStart w:id="144" w:name="fig:030"/>
    <w:p>
      <w:pPr>
        <w:pStyle w:val="CaptionedFigure"/>
      </w:pPr>
      <w:r>
        <w:drawing>
          <wp:inline>
            <wp:extent cx="3733800" cy="3324760"/>
            <wp:effectExtent b="0" l="0" r="0" t="0"/>
            <wp:docPr descr="Рис. 30: Функция parse(). Информация" title="" id="142" name="Picture"/>
            <a:graphic>
              <a:graphicData uri="http://schemas.openxmlformats.org/drawingml/2006/picture">
                <pic:pic>
                  <pic:nvPicPr>
                    <pic:cNvPr descr="image/5_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4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Функция parse(). Информация</w:t>
      </w:r>
    </w:p>
    <w:bookmarkEnd w:id="144"/>
    <w:bookmarkStart w:id="148" w:name="fig:031"/>
    <w:p>
      <w:pPr>
        <w:pStyle w:val="CaptionedFigure"/>
      </w:pPr>
      <w:r>
        <w:drawing>
          <wp:inline>
            <wp:extent cx="3733800" cy="1159133"/>
            <wp:effectExtent b="0" l="0" r="0" t="0"/>
            <wp:docPr descr="Рис. 31: Функция parse(). Пример" title="" id="146" name="Picture"/>
            <a:graphic>
              <a:graphicData uri="http://schemas.openxmlformats.org/drawingml/2006/picture">
                <pic:pic>
                  <pic:nvPicPr>
                    <pic:cNvPr descr="image/5_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9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Функция parse(). Пример</w:t>
      </w:r>
    </w:p>
    <w:bookmarkEnd w:id="148"/>
    <w:p>
      <w:pPr>
        <w:pStyle w:val="Compact"/>
        <w:numPr>
          <w:ilvl w:val="0"/>
          <w:numId w:val="1019"/>
        </w:numPr>
      </w:pPr>
      <w:r>
        <w:t xml:space="preserve">Изучила синтаксис Julia для базовых математических операций с разным типом переменных: сложение, вычитание, умножение, деление, возведение в степень, извлечение корня, сравнение, логические операции. Привела свои примеры с пояснениями по особенностям их применения (рис. 32).</w:t>
      </w:r>
    </w:p>
    <w:bookmarkStart w:id="152" w:name="fig:032"/>
    <w:p>
      <w:pPr>
        <w:pStyle w:val="CaptionedFigure"/>
      </w:pPr>
      <w:r>
        <w:drawing>
          <wp:inline>
            <wp:extent cx="3733800" cy="4249896"/>
            <wp:effectExtent b="0" l="0" r="0" t="0"/>
            <wp:docPr descr="Рис. 32: Примеры для базовых математических операций" title="" id="150" name="Picture"/>
            <a:graphic>
              <a:graphicData uri="http://schemas.openxmlformats.org/drawingml/2006/picture">
                <pic:pic>
                  <pic:nvPicPr>
                    <pic:cNvPr descr="image/6_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Примеры для базовых математических операций</w:t>
      </w:r>
    </w:p>
    <w:bookmarkEnd w:id="152"/>
    <w:p>
      <w:pPr>
        <w:pStyle w:val="Compact"/>
        <w:numPr>
          <w:ilvl w:val="0"/>
          <w:numId w:val="1020"/>
        </w:numPr>
      </w:pPr>
      <w:r>
        <w:t xml:space="preserve">Привела несколько своих примеров с пояснениями с операциями над матрицами и векторами: сложение, вычитание, скалярное произведение, транспонирование, умножение на скаляр (рис. 33).</w:t>
      </w:r>
    </w:p>
    <w:bookmarkStart w:id="155" w:name="fig:033"/>
    <w:p>
      <w:pPr>
        <w:pStyle w:val="CaptionedFigure"/>
      </w:pPr>
      <w:r>
        <w:drawing>
          <wp:inline>
            <wp:extent cx="3733800" cy="4249896"/>
            <wp:effectExtent b="0" l="0" r="0" t="0"/>
            <wp:docPr descr="Рис. 33: Примеры с операциями над матрицами" title="" id="153" name="Picture"/>
            <a:graphic>
              <a:graphicData uri="http://schemas.openxmlformats.org/drawingml/2006/picture">
                <pic:pic>
                  <pic:nvPicPr>
                    <pic:cNvPr descr="image/6_1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Примеры с операциями над матрицами</w:t>
      </w:r>
    </w:p>
    <w:bookmarkEnd w:id="155"/>
    <w:bookmarkEnd w:id="156"/>
    <w:bookmarkEnd w:id="157"/>
    <w:bookmarkStart w:id="15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мной было подготовлено рабочее пространство и инструментарий для работы с языком программирования Julia, также я познакомилась с основами синтаксиса Julia на простейших примерах.</w:t>
      </w:r>
    </w:p>
    <w:bookmarkEnd w:id="1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1" Target="media/rId81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Тазаева Анастасия Анатольевна</dc:creator>
  <dc:language>ru-RU</dc:language>
  <cp:keywords/>
  <dcterms:created xsi:type="dcterms:W3CDTF">2024-12-02T21:45:55Z</dcterms:created>
  <dcterms:modified xsi:type="dcterms:W3CDTF">2024-12-02T21:45:55Z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Julia. Установка и настройка. Основные принципы.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