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26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Структуры данных</w:t>
      </w:r>
    </w:p>
    <w:p>
      <w:pPr>
        <w:pStyle w:val="Author"/>
      </w:pPr>
      <w:r>
        <w:t xml:space="preserve">Тазаева Анастасия 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несколько структур данных, реализованных в Julia, научиться применять их и операции над ними для решения задач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2.2.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2.4).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кортеж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Кортежи</w:t>
      </w:r>
    </w:p>
    <w:p>
      <w:pPr>
        <w:pStyle w:val="FirstParagraph"/>
      </w:pPr>
      <w:r>
        <w:t xml:space="preserve">Кортеж (Tuple) — структура данных (контейнер) в виде неизменяемой индексируемой последовательности элементов какого-либо типа (элементы индексируются с единицы). Синтаксис определения кортежа:</w:t>
      </w:r>
    </w:p>
    <w:p>
      <w:pPr>
        <w:pStyle w:val="BodyText"/>
      </w:pPr>
      <w:r>
        <w:rPr>
          <w:rStyle w:val="VerbatimChar"/>
        </w:rPr>
        <w:t xml:space="preserve">(element1, element2, ...)</w:t>
      </w:r>
    </w:p>
    <w:p>
      <w:pPr>
        <w:pStyle w:val="BodyText"/>
      </w:pPr>
      <w:r>
        <w:t xml:space="preserve">Примеры представлены на рис. 1 и 2 :</w:t>
      </w:r>
    </w:p>
    <w:bookmarkStart w:id="25" w:name="fig:001"/>
    <w:p>
      <w:pPr>
        <w:pStyle w:val="CaptionedFigure"/>
      </w:pPr>
      <w:r>
        <w:drawing>
          <wp:inline>
            <wp:extent cx="3733800" cy="2400299"/>
            <wp:effectExtent b="0" l="0" r="0" t="0"/>
            <wp:docPr descr="Рис. 1: Примеры кортеже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Примеры кортежей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335699"/>
            <wp:effectExtent b="0" l="0" r="0" t="0"/>
            <wp:docPr descr="Рис. 2: Примеры операций над кортеж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Примеры операций над кортежами</w:t>
      </w:r>
    </w:p>
    <w:bookmarkEnd w:id="29"/>
    <w:bookmarkEnd w:id="30"/>
    <w:bookmarkStart w:id="39" w:name="словар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Словари</w:t>
      </w:r>
    </w:p>
    <w:p>
      <w:pPr>
        <w:pStyle w:val="FirstParagraph"/>
      </w:pPr>
      <w:r>
        <w:t xml:space="preserve">Словарь — неупорядоченный набор связанных между собой по ключу данных. Синтаксис определения словаря:</w:t>
      </w:r>
    </w:p>
    <w:p>
      <w:pPr>
        <w:pStyle w:val="BodyText"/>
      </w:pPr>
      <w:r>
        <w:rPr>
          <w:rStyle w:val="VerbatimChar"/>
        </w:rPr>
        <w:t xml:space="preserve">Dict(key1 =&gt; value1, key2 =&gt; value2, ...)</w:t>
      </w:r>
    </w:p>
    <w:p>
      <w:pPr>
        <w:pStyle w:val="BodyText"/>
      </w:pPr>
      <w:r>
        <w:t xml:space="preserve">Примеры представлены на рис. 3 и 4 :</w:t>
      </w:r>
    </w:p>
    <w:bookmarkStart w:id="34" w:name="fig:003"/>
    <w:p>
      <w:pPr>
        <w:pStyle w:val="CaptionedFigure"/>
      </w:pPr>
      <w:r>
        <w:drawing>
          <wp:inline>
            <wp:extent cx="3733800" cy="3085716"/>
            <wp:effectExtent b="0" l="0" r="0" t="0"/>
            <wp:docPr descr="Рис. 3: Примеры словарей и операций над ними. Часть 1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Примеры словарей и операций над ними. Часть 1</w:t>
      </w:r>
    </w:p>
    <w:bookmarkEnd w:id="34"/>
    <w:bookmarkStart w:id="38" w:name="fig:004"/>
    <w:p>
      <w:pPr>
        <w:pStyle w:val="CaptionedFigure"/>
      </w:pPr>
      <w:r>
        <w:drawing>
          <wp:inline>
            <wp:extent cx="3733800" cy="2381334"/>
            <wp:effectExtent b="0" l="0" r="0" t="0"/>
            <wp:docPr descr="Рис. 4: Примеры словарей и операций над ними. Часть 2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Примеры словарей и операций над ними. Часть 2</w:t>
      </w:r>
    </w:p>
    <w:bookmarkEnd w:id="38"/>
    <w:bookmarkEnd w:id="39"/>
    <w:bookmarkStart w:id="52" w:name="множест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Множества</w:t>
      </w:r>
    </w:p>
    <w:p>
      <w:pPr>
        <w:pStyle w:val="FirstParagraph"/>
      </w:pPr>
      <w:r>
        <w:t xml:space="preserve">Множество , как структура данных в Julia, соответствует множеству, как математическому объекту, то есть является неупорядоченной совокупностью элементов какого-либо типа. Возможные операции над множествами: объединение, пересечение, разность; принадлежность элемента множеству. Синтаксис определения множества:</w:t>
      </w:r>
    </w:p>
    <w:p>
      <w:pPr>
        <w:pStyle w:val="BodyText"/>
      </w:pPr>
      <w:r>
        <w:rPr>
          <w:rStyle w:val="VerbatimChar"/>
        </w:rPr>
        <w:t xml:space="preserve">Set([itr])</w:t>
      </w:r>
      <w:r>
        <w:t xml:space="preserve">, где itr — набор значений, сгенерированных данным итерируемым объектом или пустоемножество.</w:t>
      </w:r>
    </w:p>
    <w:p>
      <w:pPr>
        <w:pStyle w:val="BodyText"/>
      </w:pPr>
      <w:r>
        <w:t xml:space="preserve">Примеры представлены на рис. 5, 6, 7 :</w:t>
      </w:r>
    </w:p>
    <w:bookmarkStart w:id="43" w:name="fig:005"/>
    <w:p>
      <w:pPr>
        <w:pStyle w:val="CaptionedFigure"/>
      </w:pPr>
      <w:r>
        <w:drawing>
          <wp:inline>
            <wp:extent cx="3733800" cy="3214421"/>
            <wp:effectExtent b="0" l="0" r="0" t="0"/>
            <wp:docPr descr="Рис. 5: Примеры множеств и операций над ними. Часть 1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Примеры множеств и операций над ними. Часть 1</w:t>
      </w:r>
    </w:p>
    <w:bookmarkEnd w:id="43"/>
    <w:bookmarkStart w:id="47" w:name="fig:006"/>
    <w:p>
      <w:pPr>
        <w:pStyle w:val="CaptionedFigure"/>
      </w:pPr>
      <w:r>
        <w:drawing>
          <wp:inline>
            <wp:extent cx="3733800" cy="3305058"/>
            <wp:effectExtent b="0" l="0" r="0" t="0"/>
            <wp:docPr descr="Рис. 6: Примеры множеств и операций над ними. Часть 2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Примеры множеств и операций над ними. Часть 2</w:t>
      </w:r>
    </w:p>
    <w:bookmarkEnd w:id="47"/>
    <w:bookmarkStart w:id="51" w:name="fig:007"/>
    <w:p>
      <w:pPr>
        <w:pStyle w:val="CaptionedFigure"/>
      </w:pPr>
      <w:r>
        <w:drawing>
          <wp:inline>
            <wp:extent cx="3733800" cy="1074445"/>
            <wp:effectExtent b="0" l="0" r="0" t="0"/>
            <wp:docPr descr="Рис. 7: Примеры множеств и операций над ними. Часть 3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Примеры множеств и операций над ними. Часть 3</w:t>
      </w:r>
    </w:p>
    <w:bookmarkEnd w:id="51"/>
    <w:bookmarkEnd w:id="52"/>
    <w:bookmarkStart w:id="89" w:name="массив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Массивы</w:t>
      </w:r>
    </w:p>
    <w:p>
      <w:pPr>
        <w:pStyle w:val="FirstParagraph"/>
      </w:pPr>
      <w:r>
        <w:t xml:space="preserve">Массив — коллекция упорядоченных элементов, размещённая в многомерной сетке. Векторы и матрицы являются частными случаями массивов.</w:t>
      </w:r>
      <w:r>
        <w:t xml:space="preserve"> </w:t>
      </w:r>
      <w:r>
        <w:t xml:space="preserve">Общий синтаксис одномерных массивов:</w:t>
      </w:r>
    </w:p>
    <w:p>
      <w:pPr>
        <w:pStyle w:val="SourceCode"/>
      </w:pPr>
      <w:r>
        <w:rPr>
          <w:rStyle w:val="VerbatimChar"/>
        </w:rPr>
        <w:t xml:space="preserve">array_name_1 = [element1, element2, ...]</w:t>
      </w:r>
      <w:r>
        <w:br/>
      </w:r>
      <w:r>
        <w:rPr>
          <w:rStyle w:val="VerbatimChar"/>
        </w:rPr>
        <w:t xml:space="preserve">array_name_2 = [element1 element2 ...]</w:t>
      </w:r>
    </w:p>
    <w:p>
      <w:pPr>
        <w:pStyle w:val="FirstParagraph"/>
      </w:pPr>
      <w:r>
        <w:t xml:space="preserve">Некоторые операции для работы с массивами:</w:t>
      </w:r>
      <w:r>
        <w:t xml:space="preserve"> </w:t>
      </w:r>
      <w:r>
        <w:t xml:space="preserve">- length(A) — число элементов массива A;</w:t>
      </w:r>
      <w:r>
        <w:t xml:space="preserve"> </w:t>
      </w:r>
      <w:r>
        <w:t xml:space="preserve">- ndims(A) — число размерностей массива A;</w:t>
      </w:r>
      <w:r>
        <w:t xml:space="preserve"> </w:t>
      </w:r>
      <w:r>
        <w:t xml:space="preserve">- size(A) — кортеж размерностей массива A;</w:t>
      </w:r>
      <w:r>
        <w:t xml:space="preserve"> </w:t>
      </w:r>
      <w:r>
        <w:t xml:space="preserve">- size(A, n) — размерность массива A в заданном направлении;</w:t>
      </w:r>
      <w:r>
        <w:t xml:space="preserve"> </w:t>
      </w:r>
      <w:r>
        <w:t xml:space="preserve">- copy(A) — создание копии массива A;</w:t>
      </w:r>
      <w:r>
        <w:t xml:space="preserve"> </w:t>
      </w:r>
      <w:r>
        <w:t xml:space="preserve">- ones() , zeros() — создать массив с единицами или нулями соответственно;</w:t>
      </w:r>
      <w:r>
        <w:t xml:space="preserve"> </w:t>
      </w:r>
      <w:r>
        <w:t xml:space="preserve">- fill(value,array_name) — заполнение массива заранее определенным значением;</w:t>
      </w:r>
      <w:r>
        <w:t xml:space="preserve"> </w:t>
      </w:r>
      <w:r>
        <w:t xml:space="preserve">- sort() — сортировка элементов;</w:t>
      </w:r>
      <w:r>
        <w:t xml:space="preserve"> </w:t>
      </w:r>
      <w:r>
        <w:t xml:space="preserve">- collect() — вернуть массив всех элементов в коллекции или итераторе;</w:t>
      </w:r>
      <w:r>
        <w:t xml:space="preserve"> </w:t>
      </w:r>
      <w:r>
        <w:t xml:space="preserve">- reshape() — изменение размера массива;</w:t>
      </w:r>
      <w:r>
        <w:t xml:space="preserve"> </w:t>
      </w:r>
      <w:r>
        <w:t xml:space="preserve">- transpose() — транспонирование массива;</w:t>
      </w:r>
    </w:p>
    <w:p>
      <w:pPr>
        <w:pStyle w:val="BodyText"/>
      </w:pPr>
      <w:r>
        <w:t xml:space="preserve">Примеры массивов представлены на рис. 8, 9, 10 :</w:t>
      </w:r>
    </w:p>
    <w:bookmarkStart w:id="56" w:name="fig:008"/>
    <w:p>
      <w:pPr>
        <w:pStyle w:val="CaptionedFigure"/>
      </w:pPr>
      <w:r>
        <w:drawing>
          <wp:inline>
            <wp:extent cx="3733800" cy="3410563"/>
            <wp:effectExtent b="0" l="0" r="0" t="0"/>
            <wp:docPr descr="Рис. 8: Примеры массивов. Часть 1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Примеры массивов. Часть 1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3371658"/>
            <wp:effectExtent b="0" l="0" r="0" t="0"/>
            <wp:docPr descr="Рис. 9: Примеры массивов. Часть 2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Примеры массивов. Часть 2</w:t>
      </w:r>
    </w:p>
    <w:bookmarkEnd w:id="60"/>
    <w:bookmarkStart w:id="64" w:name="fig:010"/>
    <w:p>
      <w:pPr>
        <w:pStyle w:val="CaptionedFigure"/>
      </w:pPr>
      <w:r>
        <w:drawing>
          <wp:inline>
            <wp:extent cx="3733800" cy="3448841"/>
            <wp:effectExtent b="0" l="0" r="0" t="0"/>
            <wp:docPr descr="Рис. 10: Примеры массивов, заданных некоторыми функциями через включение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Примеры массивов, заданных некоторыми функциями через включение</w:t>
      </w:r>
    </w:p>
    <w:bookmarkEnd w:id="64"/>
    <w:p>
      <w:pPr>
        <w:pStyle w:val="BodyText"/>
      </w:pPr>
      <w:r>
        <w:t xml:space="preserve">Примеры операций над массивами представлены на рис. 11 - 16 :</w:t>
      </w:r>
    </w:p>
    <w:bookmarkStart w:id="68" w:name="fig:011"/>
    <w:p>
      <w:pPr>
        <w:pStyle w:val="CaptionedFigure"/>
      </w:pPr>
      <w:r>
        <w:drawing>
          <wp:inline>
            <wp:extent cx="3733800" cy="3192130"/>
            <wp:effectExtent b="0" l="0" r="0" t="0"/>
            <wp:docPr descr="Рис. 11: Некоторые операции для работы с массивами. Часть 1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Некоторые операции для работы с массивами. Часть 1</w:t>
      </w:r>
    </w:p>
    <w:bookmarkEnd w:id="68"/>
    <w:bookmarkStart w:id="72" w:name="fig:012"/>
    <w:p>
      <w:pPr>
        <w:pStyle w:val="CaptionedFigure"/>
      </w:pPr>
      <w:r>
        <w:drawing>
          <wp:inline>
            <wp:extent cx="3733800" cy="3266571"/>
            <wp:effectExtent b="0" l="0" r="0" t="0"/>
            <wp:docPr descr="Рис. 12: Некоторые операции для работы с массивами. Часть 2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Некоторые операции для работы с массивами. Часть 2</w:t>
      </w:r>
    </w:p>
    <w:bookmarkEnd w:id="72"/>
    <w:bookmarkStart w:id="76" w:name="fig:013"/>
    <w:p>
      <w:pPr>
        <w:pStyle w:val="CaptionedFigure"/>
      </w:pPr>
      <w:r>
        <w:drawing>
          <wp:inline>
            <wp:extent cx="3733800" cy="3277539"/>
            <wp:effectExtent b="0" l="0" r="0" t="0"/>
            <wp:docPr descr="Рис. 13: Некоторые операции для работы с массивами. Часть 3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Некоторые операции для работы с массивами. Часть 3</w:t>
      </w:r>
    </w:p>
    <w:bookmarkEnd w:id="76"/>
    <w:bookmarkStart w:id="80" w:name="fig:014"/>
    <w:p>
      <w:pPr>
        <w:pStyle w:val="CaptionedFigure"/>
      </w:pPr>
      <w:r>
        <w:drawing>
          <wp:inline>
            <wp:extent cx="3733800" cy="3565040"/>
            <wp:effectExtent b="0" l="0" r="0" t="0"/>
            <wp:docPr descr="Рис. 14: Некоторые операции для работы с массивами. Часть 4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Некоторые операции для работы с массивами. Часть 4</w:t>
      </w:r>
    </w:p>
    <w:bookmarkEnd w:id="80"/>
    <w:bookmarkStart w:id="84" w:name="fig:015"/>
    <w:p>
      <w:pPr>
        <w:pStyle w:val="CaptionedFigure"/>
      </w:pPr>
      <w:r>
        <w:drawing>
          <wp:inline>
            <wp:extent cx="3733800" cy="3489375"/>
            <wp:effectExtent b="0" l="0" r="0" t="0"/>
            <wp:docPr descr="Рис. 15: Некоторые операции для работы с массивами. Часть 5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Некоторые операции для работы с массивами. Часть 5</w:t>
      </w:r>
    </w:p>
    <w:bookmarkEnd w:id="84"/>
    <w:bookmarkStart w:id="88" w:name="fig:016"/>
    <w:p>
      <w:pPr>
        <w:pStyle w:val="CaptionedFigure"/>
      </w:pPr>
      <w:r>
        <w:drawing>
          <wp:inline>
            <wp:extent cx="3733800" cy="3561600"/>
            <wp:effectExtent b="0" l="0" r="0" t="0"/>
            <wp:docPr descr="Рис. 16: Некоторые операции для работы с массивами. Часть 6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Некоторые операции для работы с массивами. Часть 6</w:t>
      </w:r>
    </w:p>
    <w:bookmarkEnd w:id="88"/>
    <w:bookmarkEnd w:id="89"/>
    <w:bookmarkStart w:id="130" w:name="самостоятельная-работ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Выполнение заданий можно просмотреть на рис. 17 - 26 :</w:t>
      </w:r>
    </w:p>
    <w:bookmarkStart w:id="93" w:name="fig:017"/>
    <w:p>
      <w:pPr>
        <w:pStyle w:val="CaptionedFigure"/>
      </w:pPr>
      <w:r>
        <w:drawing>
          <wp:inline>
            <wp:extent cx="3733800" cy="1759898"/>
            <wp:effectExtent b="0" l="0" r="0" t="0"/>
            <wp:docPr descr="Рис. 17: Самостоятельная работа. Задание 1 и 2" title="" id="91" name="Picture"/>
            <a:graphic>
              <a:graphicData uri="http://schemas.openxmlformats.org/drawingml/2006/picture">
                <pic:pic>
                  <pic:nvPicPr>
                    <pic:cNvPr descr="image/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Самостоятельная работа. Задание 1 и 2</w:t>
      </w:r>
    </w:p>
    <w:bookmarkEnd w:id="93"/>
    <w:bookmarkStart w:id="97" w:name="fig:018"/>
    <w:p>
      <w:pPr>
        <w:pStyle w:val="CaptionedFigure"/>
      </w:pPr>
      <w:r>
        <w:drawing>
          <wp:inline>
            <wp:extent cx="3733800" cy="2036880"/>
            <wp:effectExtent b="0" l="0" r="0" t="0"/>
            <wp:docPr descr="Рис. 18: Самостоятельная работа. Задание 3. Подпункты 3.1, 3.2, 3.3, 3.4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Самостоятельная работа. Задание 3. Подпункты 3.1, 3.2, 3.3, 3.4</w:t>
      </w:r>
    </w:p>
    <w:bookmarkEnd w:id="97"/>
    <w:bookmarkStart w:id="101" w:name="fig:019"/>
    <w:p>
      <w:pPr>
        <w:pStyle w:val="CaptionedFigure"/>
      </w:pPr>
      <w:r>
        <w:drawing>
          <wp:inline>
            <wp:extent cx="3733800" cy="1820195"/>
            <wp:effectExtent b="0" l="0" r="0" t="0"/>
            <wp:docPr descr="Рис. 19: Самостоятельная работа. Задание 3. Подпункты 3.5, 3.6, 3.7, 3.8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Самостоятельная работа. Задание 3. Подпункты 3.5, 3.6, 3.7, 3.8</w:t>
      </w:r>
    </w:p>
    <w:bookmarkEnd w:id="101"/>
    <w:bookmarkStart w:id="105" w:name="fig:020"/>
    <w:p>
      <w:pPr>
        <w:pStyle w:val="CaptionedFigure"/>
      </w:pPr>
      <w:r>
        <w:drawing>
          <wp:inline>
            <wp:extent cx="3733800" cy="1703450"/>
            <wp:effectExtent b="0" l="0" r="0" t="0"/>
            <wp:docPr descr="Рис. 20: Самостоятельная работа. Задание 3. Подпункты 3.9, 3.10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Самостоятельная работа. Задание 3. Подпункты 3.9, 3.10</w:t>
      </w:r>
    </w:p>
    <w:bookmarkEnd w:id="105"/>
    <w:bookmarkStart w:id="109" w:name="fig:021"/>
    <w:p>
      <w:pPr>
        <w:pStyle w:val="CaptionedFigure"/>
      </w:pPr>
      <w:r>
        <w:drawing>
          <wp:inline>
            <wp:extent cx="3733800" cy="2059506"/>
            <wp:effectExtent b="0" l="0" r="0" t="0"/>
            <wp:docPr descr="Рис. 21: Самостоятельная работа. Задание 3. Подпункт 3.11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Самостоятельная работа. Задание 3. Подпункт 3.11</w:t>
      </w:r>
    </w:p>
    <w:bookmarkEnd w:id="109"/>
    <w:bookmarkStart w:id="113" w:name="fig:022"/>
    <w:p>
      <w:pPr>
        <w:pStyle w:val="CaptionedFigure"/>
      </w:pPr>
      <w:r>
        <w:drawing>
          <wp:inline>
            <wp:extent cx="3733800" cy="1990859"/>
            <wp:effectExtent b="0" l="0" r="0" t="0"/>
            <wp:docPr descr="Рис. 22: Самостоятельная работа. Задание 3. Подпункты 3.12, 3.13, 3.14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Самостоятельная работа. Задание 3. Подпункты 3.12, 3.13, 3.14</w:t>
      </w:r>
    </w:p>
    <w:bookmarkEnd w:id="113"/>
    <w:bookmarkStart w:id="117" w:name="fig:023"/>
    <w:p>
      <w:pPr>
        <w:pStyle w:val="CaptionedFigure"/>
      </w:pPr>
      <w:r>
        <w:drawing>
          <wp:inline>
            <wp:extent cx="3733800" cy="2005884"/>
            <wp:effectExtent b="0" l="0" r="0" t="0"/>
            <wp:docPr descr="Рис. 23: Самостоятельная работа. Задание 3. Подпункт 3.14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5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Самостоятельная работа. Задание 3. Подпункт 3.14</w:t>
      </w:r>
    </w:p>
    <w:bookmarkEnd w:id="117"/>
    <w:bookmarkStart w:id="121" w:name="fig:024"/>
    <w:p>
      <w:pPr>
        <w:pStyle w:val="CaptionedFigure"/>
      </w:pPr>
      <w:r>
        <w:drawing>
          <wp:inline>
            <wp:extent cx="3733800" cy="2116678"/>
            <wp:effectExtent b="0" l="0" r="0" t="0"/>
            <wp:docPr descr="Рис. 24: Самостоятельная работа. Задание 3. Подпункт 3.14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Самостоятельная работа. Задание 3. Подпункт 3.14</w:t>
      </w:r>
    </w:p>
    <w:bookmarkEnd w:id="121"/>
    <w:bookmarkStart w:id="125" w:name="fig:025"/>
    <w:p>
      <w:pPr>
        <w:pStyle w:val="CaptionedFigure"/>
      </w:pPr>
      <w:r>
        <w:drawing>
          <wp:inline>
            <wp:extent cx="3733800" cy="1883221"/>
            <wp:effectExtent b="0" l="0" r="0" t="0"/>
            <wp:docPr descr="Рис. 25: Самостоятельная работа. Задание 4 и 5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Самостоятельная работа. Задание 4 и 5</w:t>
      </w:r>
    </w:p>
    <w:bookmarkEnd w:id="125"/>
    <w:bookmarkStart w:id="129" w:name="fig:026"/>
    <w:p>
      <w:pPr>
        <w:pStyle w:val="CaptionedFigure"/>
      </w:pPr>
      <w:r>
        <w:drawing>
          <wp:inline>
            <wp:extent cx="3733800" cy="1528118"/>
            <wp:effectExtent b="0" l="0" r="0" t="0"/>
            <wp:docPr descr="Рис. 26: Самостоятельная работа. Задание 6. Подпункт 6.1, 6.2, 6.3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Самостоятельная работа. Задание 6. Подпункт 6.1, 6.2, 6.3</w:t>
      </w:r>
    </w:p>
    <w:bookmarkEnd w:id="129"/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несколько структур данных, реализованных в Julia, научилась применять их и операции над ними для решения задач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6" Target="media/rId26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Тазаева Анастасия Анатольевна</dc:creator>
  <dc:language>ru-RU</dc:language>
  <cp:keywords/>
  <dcterms:created xsi:type="dcterms:W3CDTF">2024-12-02T21:46:40Z</dcterms:created>
  <dcterms:modified xsi:type="dcterms:W3CDTF">2024-12-02T21:46:40Z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Структуры данных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