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3.2.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3.4).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циклы-while-и-fo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Циклы while и for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 данных, традиционно используются циклы while и for.</w:t>
      </w:r>
      <w:r>
        <w:t xml:space="preserve"> </w:t>
      </w:r>
      <w:r>
        <w:t xml:space="preserve">Синтаксис while</w:t>
      </w:r>
    </w:p>
    <w:p>
      <w:pPr>
        <w:pStyle w:val="SourceCode"/>
      </w:pPr>
      <w:r>
        <w:rPr>
          <w:rStyle w:val="VerbatimChar"/>
        </w:rPr>
        <w:t xml:space="preserve">while &lt;условие&gt;</w:t>
      </w:r>
      <w:r>
        <w:br/>
      </w:r>
      <w:r>
        <w:rPr>
          <w:rStyle w:val="VerbatimChar"/>
        </w:rPr>
        <w:t xml:space="preserve">    &lt;тело цикла&gt;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Примеры представлены на рис. 1 - 3 :</w:t>
      </w:r>
    </w:p>
    <w:p>
      <w:pPr>
        <w:pStyle w:val="CaptionedFigure"/>
      </w:pPr>
      <w:r>
        <w:drawing>
          <wp:inline>
            <wp:extent cx="3733800" cy="2059807"/>
            <wp:effectExtent b="0" l="0" r="0" t="0"/>
            <wp:docPr descr="Рис. 1: Циклы while и for. Примеры. Часть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Циклы while и for. Примеры. Часть 1</w:t>
      </w:r>
    </w:p>
    <w:p>
      <w:pPr>
        <w:pStyle w:val="CaptionedFigure"/>
      </w:pPr>
      <w:r>
        <w:drawing>
          <wp:inline>
            <wp:extent cx="3733800" cy="2556163"/>
            <wp:effectExtent b="0" l="0" r="0" t="0"/>
            <wp:docPr descr="Рис. 2: Циклы while и for. Примеры. Часть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Циклы while и for. Примеры. Часть 2</w:t>
      </w:r>
    </w:p>
    <w:p>
      <w:pPr>
        <w:pStyle w:val="CaptionedFigure"/>
      </w:pPr>
      <w:r>
        <w:drawing>
          <wp:inline>
            <wp:extent cx="3733800" cy="1887735"/>
            <wp:effectExtent b="0" l="0" r="0" t="0"/>
            <wp:docPr descr="Рис. 3: Циклы while и for. Примеры. Часть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Циклы while и for. Примеры. Часть 3</w:t>
      </w:r>
    </w:p>
    <w:bookmarkEnd w:id="31"/>
    <w:bookmarkStart w:id="35" w:name="условные-выраже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 условий. Для этого используют условные выражения.</w:t>
      </w:r>
      <w:r>
        <w:t xml:space="preserve"> </w:t>
      </w:r>
      <w:r>
        <w:t xml:space="preserve">Синтаксис условных выражений с ключевым словом:</w:t>
      </w:r>
    </w:p>
    <w:p>
      <w:pPr>
        <w:pStyle w:val="SourceCode"/>
      </w:pPr>
      <w:r>
        <w:rPr>
          <w:rStyle w:val="VerbatimChar"/>
        </w:rPr>
        <w:t xml:space="preserve">if &lt;условие 1&gt;</w:t>
      </w:r>
      <w:r>
        <w:br/>
      </w:r>
      <w:r>
        <w:rPr>
          <w:rStyle w:val="VerbatimChar"/>
        </w:rPr>
        <w:t xml:space="preserve">    &lt;действие 1&gt;</w:t>
      </w:r>
      <w:r>
        <w:br/>
      </w:r>
      <w:r>
        <w:rPr>
          <w:rStyle w:val="VerbatimChar"/>
        </w:rPr>
        <w:t xml:space="preserve">elseif &lt;условие 2&gt;</w:t>
      </w:r>
      <w:r>
        <w:br/>
      </w:r>
      <w:r>
        <w:rPr>
          <w:rStyle w:val="VerbatimChar"/>
        </w:rPr>
        <w:t xml:space="preserve">    &lt;действие 2&gt;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&lt;действие 3&gt;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Примеры представлены на рис. 4 :</w:t>
      </w:r>
    </w:p>
    <w:p>
      <w:pPr>
        <w:pStyle w:val="CaptionedFigure"/>
      </w:pPr>
      <w:r>
        <w:drawing>
          <wp:inline>
            <wp:extent cx="3733800" cy="1458613"/>
            <wp:effectExtent b="0" l="0" r="0" t="0"/>
            <wp:docPr descr="Рис. 4: Условные выражения. Пример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Условные выражения. Примеры</w:t>
      </w:r>
    </w:p>
    <w:bookmarkEnd w:id="35"/>
    <w:bookmarkStart w:id="48" w:name="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 Первый требует ключевых слов function и end :</w:t>
      </w:r>
    </w:p>
    <w:p>
      <w:pPr>
        <w:pStyle w:val="SourceCode"/>
      </w:pPr>
      <w:r>
        <w:rPr>
          <w:rStyle w:val="VerbatimChar"/>
        </w:rPr>
        <w:t xml:space="preserve">function sayhi(name)</w:t>
      </w:r>
      <w:r>
        <w:br/>
      </w:r>
      <w:r>
        <w:rPr>
          <w:rStyle w:val="VerbatimChar"/>
        </w:rPr>
        <w:t xml:space="preserve">    println("Hi $name, it's great to see you!")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f(x)</w:t>
      </w:r>
      <w:r>
        <w:br/>
      </w:r>
      <w:r>
        <w:rPr>
          <w:rStyle w:val="VerbatimChar"/>
        </w:rPr>
        <w:t xml:space="preserve">x^2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В качестве альтернативы, можно объявить любую из выше определённых функций в одной строке:</w:t>
      </w:r>
    </w:p>
    <w:p>
      <w:pPr>
        <w:pStyle w:val="SourceCode"/>
      </w:pPr>
      <w:r>
        <w:rPr>
          <w:rStyle w:val="VerbatimChar"/>
        </w:rPr>
        <w:t xml:space="preserve">sayhi2(name) = println("Hi $name, it's great to see you!")</w:t>
      </w:r>
      <w:r>
        <w:br/>
      </w:r>
      <w:r>
        <w:rPr>
          <w:rStyle w:val="VerbatimChar"/>
        </w:rPr>
        <w:t xml:space="preserve">f2(x) = x^2</w:t>
      </w:r>
    </w:p>
    <w:p>
      <w:pPr>
        <w:pStyle w:val="FirstParagraph"/>
      </w:pPr>
      <w:r>
        <w:t xml:space="preserve">Наконец, можно объявить выше определённые функции как «анонимные»:</w:t>
      </w:r>
    </w:p>
    <w:p>
      <w:pPr>
        <w:pStyle w:val="SourceCode"/>
      </w:pPr>
      <w:r>
        <w:rPr>
          <w:rStyle w:val="VerbatimChar"/>
        </w:rPr>
        <w:t xml:space="preserve">sayhi3 = name -&gt; println("Hi $name, it's great to see you!")</w:t>
      </w:r>
      <w:r>
        <w:br/>
      </w:r>
      <w:r>
        <w:rPr>
          <w:rStyle w:val="VerbatimChar"/>
        </w:rPr>
        <w:t xml:space="preserve">f3 = x -&gt; x^2</w:t>
      </w:r>
    </w:p>
    <w:p>
      <w:pPr>
        <w:pStyle w:val="FirstParagraph"/>
      </w:pPr>
      <w:r>
        <w:t xml:space="preserve">Примеры представлены на рис. 5 - 8 :</w:t>
      </w:r>
    </w:p>
    <w:p>
      <w:pPr>
        <w:pStyle w:val="CaptionedFigure"/>
      </w:pPr>
      <w:r>
        <w:drawing>
          <wp:inline>
            <wp:extent cx="3733800" cy="2740199"/>
            <wp:effectExtent b="0" l="0" r="0" t="0"/>
            <wp:docPr descr="Рис. 5: Функции. Примеры. Часть 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Функции. Примеры. Часть 1</w:t>
      </w:r>
    </w:p>
    <w:p>
      <w:pPr>
        <w:pStyle w:val="CaptionedFigure"/>
      </w:pPr>
      <w:r>
        <w:drawing>
          <wp:inline>
            <wp:extent cx="3733800" cy="3646325"/>
            <wp:effectExtent b="0" l="0" r="0" t="0"/>
            <wp:docPr descr="Рис. 6: Функции. Примеры. Часть 2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Функции. Примеры. Часть 2</w:t>
      </w:r>
    </w:p>
    <w:p>
      <w:pPr>
        <w:pStyle w:val="CaptionedFigure"/>
      </w:pPr>
      <w:r>
        <w:drawing>
          <wp:inline>
            <wp:extent cx="3733800" cy="3210256"/>
            <wp:effectExtent b="0" l="0" r="0" t="0"/>
            <wp:docPr descr="Рис. 7: Функции. Примеры. Часть 3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Функции. Примеры. Часть 3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Рис. 8: Функции. Примеры. Часть 4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Функции. Примеры. Часть 4</w:t>
      </w:r>
    </w:p>
    <w:bookmarkEnd w:id="48"/>
    <w:bookmarkStart w:id="52" w:name="сторонние-библиотеки-пакеты-в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Сторонние библиотеки (пакеты) в Julia</w:t>
      </w:r>
    </w:p>
    <w:p>
      <w:pPr>
        <w:pStyle w:val="FirstParagraph"/>
      </w:pPr>
      <w:r>
        <w:t xml:space="preserve">При первом использовании пакета в вашей текущей установке Julia вам необходимо использовать менеджер пакетов, чтобы явно его добавить:</w:t>
      </w:r>
    </w:p>
    <w:p>
      <w:pPr>
        <w:pStyle w:val="SourceCode"/>
      </w:pPr>
      <w:r>
        <w:rPr>
          <w:rStyle w:val="VerbatimChar"/>
        </w:rPr>
        <w:t xml:space="preserve">import Pkg</w:t>
      </w:r>
      <w:r>
        <w:br/>
      </w:r>
      <w:r>
        <w:rPr>
          <w:rStyle w:val="VerbatimChar"/>
        </w:rPr>
        <w:t xml:space="preserve">Pkg.add("Example")</w:t>
      </w:r>
    </w:p>
    <w:p>
      <w:pPr>
        <w:pStyle w:val="FirstParagraph"/>
      </w:pPr>
      <w:r>
        <w:t xml:space="preserve">При каждом новом использовании Julia (например, в начале нового сеанса в REPL или открытии блокнота в первый раз) нужно загрузить пакет, используя ключевое слово using.</w:t>
      </w:r>
    </w:p>
    <w:p>
      <w:pPr>
        <w:pStyle w:val="BodyText"/>
      </w:pPr>
      <w:r>
        <w:t xml:space="preserve">Примеры представлены на рис. 9 :</w:t>
      </w:r>
    </w:p>
    <w:p>
      <w:pPr>
        <w:pStyle w:val="CaptionedFigure"/>
      </w:pPr>
      <w:r>
        <w:drawing>
          <wp:inline>
            <wp:extent cx="3733800" cy="3040605"/>
            <wp:effectExtent b="0" l="0" r="0" t="0"/>
            <wp:docPr descr="Рис. 9: Сторонние библиотеки. Пример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Сторонние библиотеки. Пример</w:t>
      </w:r>
    </w:p>
    <w:bookmarkEnd w:id="52"/>
    <w:bookmarkStart w:id="98" w:name="самостоятельная-работ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заданий можно просмотреть на рис. 10 - 24 :</w:t>
      </w:r>
    </w:p>
    <w:p>
      <w:pPr>
        <w:pStyle w:val="CaptionedFigure"/>
      </w:pPr>
      <w:r>
        <w:drawing>
          <wp:inline>
            <wp:extent cx="3733800" cy="1288864"/>
            <wp:effectExtent b="0" l="0" r="0" t="0"/>
            <wp:docPr descr="Рис. 10: Самостоятельная работа. Задание 1.1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Самостоятельная работа. Задание 1.1</w:t>
      </w:r>
    </w:p>
    <w:p>
      <w:pPr>
        <w:pStyle w:val="CaptionedFigure"/>
      </w:pPr>
      <w:r>
        <w:drawing>
          <wp:inline>
            <wp:extent cx="3733800" cy="1937349"/>
            <wp:effectExtent b="0" l="0" r="0" t="0"/>
            <wp:docPr descr="Рис. 11: Самостоятельная работа. Задание 1.2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Самостоятельная работа. Задание 1.2</w:t>
      </w:r>
    </w:p>
    <w:p>
      <w:pPr>
        <w:pStyle w:val="CaptionedFigure"/>
      </w:pPr>
      <w:r>
        <w:drawing>
          <wp:inline>
            <wp:extent cx="3733800" cy="1001751"/>
            <wp:effectExtent b="0" l="0" r="0" t="0"/>
            <wp:docPr descr="Рис. 12: Самостоятельная работа. Задание 1.3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Самостоятельная работа. Задание 1.3</w:t>
      </w:r>
    </w:p>
    <w:p>
      <w:pPr>
        <w:pStyle w:val="CaptionedFigure"/>
      </w:pPr>
      <w:r>
        <w:drawing>
          <wp:inline>
            <wp:extent cx="3733800" cy="785642"/>
            <wp:effectExtent b="0" l="0" r="0" t="0"/>
            <wp:docPr descr="Рис. 13: Самостоятельная работа. Задание 2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Самостоятельная работа. Задание 2</w:t>
      </w:r>
    </w:p>
    <w:p>
      <w:pPr>
        <w:pStyle w:val="CaptionedFigure"/>
      </w:pPr>
      <w:r>
        <w:drawing>
          <wp:inline>
            <wp:extent cx="3733800" cy="765507"/>
            <wp:effectExtent b="0" l="0" r="0" t="0"/>
            <wp:docPr descr="Рис. 14: Самостоятельная работа. Задание 3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Самостоятельная работа. Задание 3</w:t>
      </w:r>
    </w:p>
    <w:p>
      <w:pPr>
        <w:pStyle w:val="CaptionedFigure"/>
      </w:pPr>
      <w:r>
        <w:drawing>
          <wp:inline>
            <wp:extent cx="3733800" cy="1106410"/>
            <wp:effectExtent b="0" l="0" r="0" t="0"/>
            <wp:docPr descr="Рис. 15: Самостоятельная работа. Задание 4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Самостоятельная работа. Задание 4</w:t>
      </w:r>
    </w:p>
    <w:p>
      <w:pPr>
        <w:pStyle w:val="CaptionedFigure"/>
      </w:pPr>
      <w:r>
        <w:drawing>
          <wp:inline>
            <wp:extent cx="3733800" cy="1436498"/>
            <wp:effectExtent b="0" l="0" r="0" t="0"/>
            <wp:docPr descr="Рис. 16: Самостоятельная работа. Задание 5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Самостоятельная работа. Задание 5</w:t>
      </w:r>
    </w:p>
    <w:p>
      <w:pPr>
        <w:pStyle w:val="CaptionedFigure"/>
      </w:pPr>
      <w:r>
        <w:drawing>
          <wp:inline>
            <wp:extent cx="3733800" cy="1653494"/>
            <wp:effectExtent b="0" l="0" r="0" t="0"/>
            <wp:docPr descr="Рис. 17: Самостоятельная работа. Задание 6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Самостоятельная работа. Задание 6</w:t>
      </w:r>
    </w:p>
    <w:p>
      <w:pPr>
        <w:pStyle w:val="CaptionedFigure"/>
      </w:pPr>
      <w:r>
        <w:drawing>
          <wp:inline>
            <wp:extent cx="3733800" cy="1872241"/>
            <wp:effectExtent b="0" l="0" r="0" t="0"/>
            <wp:docPr descr="Рис. 18: Самостоятельная работа. Задание 7.1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Самостоятельная работа. Задание 7.1</w:t>
      </w:r>
    </w:p>
    <w:p>
      <w:pPr>
        <w:pStyle w:val="CaptionedFigure"/>
      </w:pPr>
      <w:r>
        <w:drawing>
          <wp:inline>
            <wp:extent cx="3733800" cy="1543234"/>
            <wp:effectExtent b="0" l="0" r="0" t="0"/>
            <wp:docPr descr="Рис. 19: Самостоятельная работа. Задание 7.2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Самостоятельная работа. Задание 7.2</w:t>
      </w:r>
    </w:p>
    <w:p>
      <w:pPr>
        <w:pStyle w:val="CaptionedFigure"/>
      </w:pPr>
      <w:r>
        <w:drawing>
          <wp:inline>
            <wp:extent cx="3733800" cy="2287867"/>
            <wp:effectExtent b="0" l="0" r="0" t="0"/>
            <wp:docPr descr="Рис. 20: Самостоятельная работа. Задание 8.1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Самостоятельная работа. Задание 8.1</w:t>
      </w:r>
    </w:p>
    <w:p>
      <w:pPr>
        <w:pStyle w:val="CaptionedFigure"/>
      </w:pPr>
      <w:r>
        <w:drawing>
          <wp:inline>
            <wp:extent cx="3733800" cy="1986518"/>
            <wp:effectExtent b="0" l="0" r="0" t="0"/>
            <wp:docPr descr="Рис. 21: Самостоятельная работа. Задание 8.2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Самостоятельная работа. Задание 8.2</w:t>
      </w:r>
    </w:p>
    <w:p>
      <w:pPr>
        <w:pStyle w:val="CaptionedFigure"/>
      </w:pPr>
      <w:r>
        <w:drawing>
          <wp:inline>
            <wp:extent cx="3733800" cy="1208194"/>
            <wp:effectExtent b="0" l="0" r="0" t="0"/>
            <wp:docPr descr="Рис. 22: Самостоятельная работа. Задание 9" title="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Самостоятельная работа. Задание 9</w:t>
      </w:r>
    </w:p>
    <w:p>
      <w:pPr>
        <w:pStyle w:val="CaptionedFigure"/>
      </w:pPr>
      <w:r>
        <w:drawing>
          <wp:inline>
            <wp:extent cx="3733800" cy="2282983"/>
            <wp:effectExtent b="0" l="0" r="0" t="0"/>
            <wp:docPr descr="Рис. 23: Самостоятельная работа. Задание 10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Самостоятельная работа. Задание 10</w:t>
      </w:r>
    </w:p>
    <w:p>
      <w:pPr>
        <w:pStyle w:val="CaptionedFigure"/>
      </w:pPr>
      <w:r>
        <w:drawing>
          <wp:inline>
            <wp:extent cx="3733800" cy="652644"/>
            <wp:effectExtent b="0" l="0" r="0" t="0"/>
            <wp:docPr descr="Рис. 24: Самостоятельная работа. Задание 11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Самостоятельная работа. Задание 11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было освоено применение циклов функций и сторонних для Julia пакетов для решения задач линейной алгебры и работы с матрицами.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Тазаева Анастасия Анатольевна</dc:creator>
  <dc:language>ru-RU</dc:language>
  <cp:keywords/>
  <dcterms:created xsi:type="dcterms:W3CDTF">2024-12-05T12:18:29Z</dcterms:created>
  <dcterms:modified xsi:type="dcterms:W3CDTF">2024-12-05T12:18:29Z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Управляющие структуры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