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25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Линейная</w:t>
      </w:r>
      <w:r>
        <w:t xml:space="preserve"> </w:t>
      </w:r>
      <w:r>
        <w:t xml:space="preserve">алгебра</w:t>
      </w:r>
    </w:p>
    <w:p>
      <w:pPr>
        <w:pStyle w:val="Author"/>
      </w:pPr>
      <w:r>
        <w:t xml:space="preserve">Тазаева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Анатольевна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изучение возможностей специализированных пакетов Julia для выполнения и оценки эффективности операций над объектами линейной алгебры.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повторите примеры из раздела 4.2.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(раздел 4.4).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c28563639bee130e298f75fd93151139a0dd5d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Поэлементные операции над многомерными массивами</w:t>
      </w:r>
    </w:p>
    <w:p>
      <w:pPr>
        <w:pStyle w:val="FirstParagraph"/>
      </w:pPr>
      <w:r>
        <w:t xml:space="preserve">Примеры представлены на рис. 1 и 2 :</w:t>
      </w:r>
    </w:p>
    <w:p>
      <w:pPr>
        <w:pStyle w:val="CaptionedFigure"/>
      </w:pPr>
      <w:r>
        <w:drawing>
          <wp:inline>
            <wp:extent cx="3733800" cy="3418693"/>
            <wp:effectExtent b="0" l="0" r="0" t="0"/>
            <wp:docPr descr="Рис. 1: Поэлементные операции над многомерными массивами. Примеры. Часть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Поэлементные операции над многомерными массивами. Примеры. Часть 1</w:t>
      </w:r>
    </w:p>
    <w:p>
      <w:pPr>
        <w:pStyle w:val="CaptionedFigure"/>
      </w:pPr>
      <w:r>
        <w:drawing>
          <wp:inline>
            <wp:extent cx="3733800" cy="4691329"/>
            <wp:effectExtent b="0" l="0" r="0" t="0"/>
            <wp:docPr descr="Рис. 2: Поэлементные операции над многомерными массивами. Примеры. Часть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Поэлементные операции над многомерными массивами. Примеры. Часть 2</w:t>
      </w:r>
    </w:p>
    <w:bookmarkEnd w:id="28"/>
    <w:bookmarkStart w:id="35" w:name="Xe71a3b7cf23fde2857c4c69b12515f71438b9a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Транспонирование, след, ранг, определитель и инверсия матрицы</w:t>
      </w:r>
    </w:p>
    <w:p>
      <w:pPr>
        <w:pStyle w:val="FirstParagraph"/>
      </w:pPr>
      <w:r>
        <w:t xml:space="preserve">Для выполнения таких операций над матрицами, как транспонирование, диагонализация, определение следа, ранга, определителя матрицы и т.п. можно воспользоваться библиотекой (пакетом) LinearAlgebra</w:t>
      </w:r>
    </w:p>
    <w:p>
      <w:pPr>
        <w:pStyle w:val="BodyText"/>
      </w:pPr>
      <w:r>
        <w:t xml:space="preserve">Примеры представлены на рис. 3 и 4 :</w:t>
      </w:r>
    </w:p>
    <w:p>
      <w:pPr>
        <w:pStyle w:val="CaptionedFigure"/>
      </w:pPr>
      <w:r>
        <w:drawing>
          <wp:inline>
            <wp:extent cx="3733800" cy="3149741"/>
            <wp:effectExtent b="0" l="0" r="0" t="0"/>
            <wp:docPr descr="Рис. 3: Транспонирование, след, ранг, определитель и инверсия матрицы. Примеры. Часть 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Транспонирование, след, ранг, определитель и инверсия матрицы. Примеры. Часть 1</w:t>
      </w:r>
    </w:p>
    <w:p>
      <w:pPr>
        <w:pStyle w:val="CaptionedFigure"/>
      </w:pPr>
      <w:r>
        <w:drawing>
          <wp:inline>
            <wp:extent cx="3733800" cy="3793732"/>
            <wp:effectExtent b="0" l="0" r="0" t="0"/>
            <wp:docPr descr="Рис. 4: Транспонирование, след, ранг, определитель и инверсия матрицы. Примеры. Часть 2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3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Транспонирование, след, ранг, определитель и инверсия матрицы. Примеры. Часть 2</w:t>
      </w:r>
    </w:p>
    <w:bookmarkEnd w:id="35"/>
    <w:bookmarkStart w:id="42" w:name="Xd91d5cc23a5b4c7dd0e00c3f37738f394a8e13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Вычисление нормы векторов и матриц, повороты, вращения</w:t>
      </w:r>
    </w:p>
    <w:p>
      <w:pPr>
        <w:pStyle w:val="FirstParagraph"/>
      </w:pPr>
      <w:r>
        <w:t xml:space="preserve">Для вычисления нормы используется LinearAlgebra.norm(x) .</w:t>
      </w:r>
    </w:p>
    <w:p>
      <w:pPr>
        <w:pStyle w:val="BodyText"/>
      </w:pPr>
      <w:r>
        <w:t xml:space="preserve">Примеры представлены на рис. 5, 6 :</w:t>
      </w:r>
    </w:p>
    <w:p>
      <w:pPr>
        <w:pStyle w:val="CaptionedFigure"/>
      </w:pPr>
      <w:r>
        <w:drawing>
          <wp:inline>
            <wp:extent cx="3733800" cy="4145972"/>
            <wp:effectExtent b="0" l="0" r="0" t="0"/>
            <wp:docPr descr="Рис. 5: Вычисление нормы векторов и матриц, повороты, вращения. Примеры. Часть 1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Вычисление нормы векторов и матриц, повороты, вращения. Примеры. Часть 1</w:t>
      </w:r>
    </w:p>
    <w:p>
      <w:pPr>
        <w:pStyle w:val="CaptionedFigure"/>
      </w:pPr>
      <w:r>
        <w:drawing>
          <wp:inline>
            <wp:extent cx="3733800" cy="4892348"/>
            <wp:effectExtent b="0" l="0" r="0" t="0"/>
            <wp:docPr descr="Рис. 6: Вычисление нормы векторов и матриц, повороты, вращения. Примеры. Часть 2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Вычисление нормы векторов и матриц, повороты, вращения. Примеры. Часть 2</w:t>
      </w:r>
    </w:p>
    <w:bookmarkEnd w:id="42"/>
    <w:bookmarkStart w:id="46" w:name="X5c7ba8ea9205f78450384725fbd8ae04a8a085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Матричное умножение, единичная матрица, скалярное произведение</w:t>
      </w:r>
    </w:p>
    <w:p>
      <w:pPr>
        <w:pStyle w:val="FirstParagraph"/>
      </w:pPr>
      <w:r>
        <w:t xml:space="preserve">Примеры представлены на рис. 7 :</w:t>
      </w:r>
    </w:p>
    <w:p>
      <w:pPr>
        <w:pStyle w:val="CaptionedFigure"/>
      </w:pPr>
      <w:r>
        <w:drawing>
          <wp:inline>
            <wp:extent cx="3733800" cy="4288266"/>
            <wp:effectExtent b="0" l="0" r="0" t="0"/>
            <wp:docPr descr="Рис. 7: Матричное умножение, единичная матрица, скалярное произведение. Пример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Матричное умножение, единичная матрица, скалярное произведение. Примеры</w:t>
      </w:r>
    </w:p>
    <w:bookmarkEnd w:id="46"/>
    <w:bookmarkStart w:id="68" w:name="Xc1b05fa6b627f0a61977718129e6f3db9a4d06a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Факторизация. Специальные матричные структуры</w:t>
      </w:r>
    </w:p>
    <w:p>
      <w:pPr>
        <w:pStyle w:val="SourceCode"/>
      </w:pPr>
      <w:r>
        <w:rPr>
          <w:rStyle w:val="VerbatimChar"/>
        </w:rPr>
        <w:t xml:space="preserve">В математике факторизация (или разложение) объекта — его декомпозиция (например,числа, полинома или матрицы) в произведение других объектов или факторов, которые, будучи перемноженными, дают исходный объект.</w:t>
      </w:r>
      <w:r>
        <w:br/>
      </w:r>
      <w:r>
        <w:rPr>
          <w:rStyle w:val="VerbatimChar"/>
        </w:rPr>
        <w:t xml:space="preserve">Матрица может быть факторизована на произведение матриц специального вида для приложений, в которых эта форма удобна. К специальным видам матриц относят ортогональные, унитарные и треугольные матрицы.</w:t>
      </w:r>
      <w:r>
        <w:br/>
      </w:r>
      <w:r>
        <w:rPr>
          <w:rStyle w:val="VerbatimChar"/>
        </w:rPr>
        <w:t xml:space="preserve">Рассмотрим несколько примеров. Для работы со специальными матричными структурами потребуется пакет LinearAlgebra .</w:t>
      </w:r>
    </w:p>
    <w:p>
      <w:pPr>
        <w:pStyle w:val="FirstParagraph"/>
      </w:pPr>
      <w:r>
        <w:t xml:space="preserve">Примеры представлены на рис. 8 - 14 :</w:t>
      </w:r>
    </w:p>
    <w:p>
      <w:pPr>
        <w:pStyle w:val="CaptionedFigure"/>
      </w:pPr>
      <w:r>
        <w:drawing>
          <wp:inline>
            <wp:extent cx="3733800" cy="4384793"/>
            <wp:effectExtent b="0" l="0" r="0" t="0"/>
            <wp:docPr descr="Рис. 8: Факторизация. Специальные матричные структуры. Примеры. Часть 1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Факторизация. Специальные матричные структуры. Примеры. Часть 1</w:t>
      </w:r>
    </w:p>
    <w:p>
      <w:pPr>
        <w:pStyle w:val="CaptionedFigure"/>
      </w:pPr>
      <w:r>
        <w:drawing>
          <wp:inline>
            <wp:extent cx="3733800" cy="5126273"/>
            <wp:effectExtent b="0" l="0" r="0" t="0"/>
            <wp:docPr descr="Рис. 9: Факторизация. Специальные матричные структуры. Примеры. Часть 2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Факторизация. Специальные матричные структуры. Примеры. Часть 2</w:t>
      </w:r>
    </w:p>
    <w:p>
      <w:pPr>
        <w:pStyle w:val="CaptionedFigure"/>
      </w:pPr>
      <w:r>
        <w:drawing>
          <wp:inline>
            <wp:extent cx="3733800" cy="3596779"/>
            <wp:effectExtent b="0" l="0" r="0" t="0"/>
            <wp:docPr descr="Рис. 10: Факторизация. Специальные матричные структуры. Примеры. Часть 3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Факторизация. Специальные матричные структуры. Примеры. Часть 3</w:t>
      </w:r>
    </w:p>
    <w:p>
      <w:pPr>
        <w:pStyle w:val="CaptionedFigure"/>
      </w:pPr>
      <w:r>
        <w:drawing>
          <wp:inline>
            <wp:extent cx="3733800" cy="4173686"/>
            <wp:effectExtent b="0" l="0" r="0" t="0"/>
            <wp:docPr descr="Рис. 11: Факторизация. Специальные матричные структуры. Примеры. Часть 4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Факторизация. Специальные матричные структуры. Примеры. Часть 4</w:t>
      </w:r>
    </w:p>
    <w:p>
      <w:pPr>
        <w:pStyle w:val="CaptionedFigure"/>
      </w:pPr>
      <w:r>
        <w:drawing>
          <wp:inline>
            <wp:extent cx="3733800" cy="4692031"/>
            <wp:effectExtent b="0" l="0" r="0" t="0"/>
            <wp:docPr descr="Рис. 12: Факторизация. Специальные матричные структуры. Примеры. Часть 5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Факторизация. Специальные матричные структуры. Примеры. Часть 5</w:t>
      </w:r>
    </w:p>
    <w:p>
      <w:pPr>
        <w:pStyle w:val="CaptionedFigure"/>
      </w:pPr>
      <w:r>
        <w:drawing>
          <wp:inline>
            <wp:extent cx="3733800" cy="3892873"/>
            <wp:effectExtent b="0" l="0" r="0" t="0"/>
            <wp:docPr descr="Рис. 13: Факторизация. Специальные матричные структуры. Примеры. Часть 6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Факторизация. Специальные матричные структуры. Примеры. Часть 6</w:t>
      </w:r>
    </w:p>
    <w:p>
      <w:pPr>
        <w:pStyle w:val="CaptionedFigure"/>
      </w:pPr>
      <w:r>
        <w:drawing>
          <wp:inline>
            <wp:extent cx="3733800" cy="2892099"/>
            <wp:effectExtent b="0" l="0" r="0" t="0"/>
            <wp:docPr descr="Рис. 14: Факторизация. Специальные матричные структуры. Примеры. Часть 7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2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Факторизация. Специальные матричные структуры. Примеры. Часть 7</w:t>
      </w:r>
    </w:p>
    <w:bookmarkEnd w:id="68"/>
    <w:bookmarkStart w:id="72" w:name="общая-линейная-алгебр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Общая линейная алгебра</w:t>
      </w:r>
    </w:p>
    <w:p>
      <w:pPr>
        <w:pStyle w:val="FirstParagraph"/>
      </w:pPr>
      <w:r>
        <w:t xml:space="preserve">Обычный способ добавить поддержку числовой линейной алгебры - это обернуть подпрограммы BLAS и LAPACK . Собственно, для матриц с элементами Float32 , Float64 , Complex {Float32} или Complex {Float64} разработчики Julia использовали такое же решение. Однако Julia также поддерживает общую линейную алгебру, что позволяет, например, работать с матрицами и векторами рациональных чисел.</w:t>
      </w:r>
      <w:r>
        <w:t xml:space="preserve"> </w:t>
      </w:r>
      <w:r>
        <w:t xml:space="preserve">Для задания рационального числа используется двойная косая черта:</w:t>
      </w:r>
      <w:r>
        <w:t xml:space="preserve"> </w:t>
      </w:r>
      <w:r>
        <w:t xml:space="preserve">1//2</w:t>
      </w:r>
    </w:p>
    <w:p>
      <w:pPr>
        <w:pStyle w:val="BodyText"/>
      </w:pPr>
      <w:r>
        <w:t xml:space="preserve">Примеры представлены на рис. 15 :</w:t>
      </w:r>
    </w:p>
    <w:p>
      <w:pPr>
        <w:pStyle w:val="CaptionedFigure"/>
      </w:pPr>
      <w:r>
        <w:drawing>
          <wp:inline>
            <wp:extent cx="3733800" cy="5399048"/>
            <wp:effectExtent b="0" l="0" r="0" t="0"/>
            <wp:docPr descr="Рис. 15: Общая линейная алгебра. Примеры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Общая линейная алгебра. Примеры</w:t>
      </w:r>
    </w:p>
    <w:bookmarkEnd w:id="72"/>
    <w:bookmarkStart w:id="97" w:name="самостоятельная-работа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Выполнение заданий можно просмотреть на рис. 16 - 23 :</w:t>
      </w:r>
    </w:p>
    <w:p>
      <w:pPr>
        <w:pStyle w:val="CaptionedFigure"/>
      </w:pPr>
      <w:r>
        <w:drawing>
          <wp:inline>
            <wp:extent cx="3733800" cy="1519569"/>
            <wp:effectExtent b="0" l="0" r="0" t="0"/>
            <wp:docPr descr="Рис. 16: Самостоятельная работа. Задание 1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Самостоятельная работа. Задание 1</w:t>
      </w:r>
    </w:p>
    <w:p>
      <w:pPr>
        <w:pStyle w:val="CaptionedFigure"/>
      </w:pPr>
      <w:r>
        <w:drawing>
          <wp:inline>
            <wp:extent cx="3733800" cy="5078675"/>
            <wp:effectExtent b="0" l="0" r="0" t="0"/>
            <wp:docPr descr="Рис. 17: Самостоятельная работа. Задание 2" title="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Самостоятельная работа. Задание 2</w:t>
      </w:r>
    </w:p>
    <w:p>
      <w:pPr>
        <w:pStyle w:val="CaptionedFigure"/>
      </w:pPr>
      <w:r>
        <w:drawing>
          <wp:inline>
            <wp:extent cx="3733800" cy="1909403"/>
            <wp:effectExtent b="0" l="0" r="0" t="0"/>
            <wp:docPr descr="Рис. 18: Самостоятельная работа. Задание 3.1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Самостоятельная работа. Задание 3.1</w:t>
      </w:r>
    </w:p>
    <w:p>
      <w:pPr>
        <w:pStyle w:val="CaptionedFigure"/>
      </w:pPr>
      <w:r>
        <w:drawing>
          <wp:inline>
            <wp:extent cx="3733800" cy="2659614"/>
            <wp:effectExtent b="0" l="0" r="0" t="0"/>
            <wp:docPr descr="Рис. 19: Самостоятельная работа. Задание 3.2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Самостоятельная работа. Задание 3.2</w:t>
      </w:r>
    </w:p>
    <w:p>
      <w:pPr>
        <w:pStyle w:val="CaptionedFigure"/>
      </w:pPr>
      <w:r>
        <w:drawing>
          <wp:inline>
            <wp:extent cx="3733800" cy="3782572"/>
            <wp:effectExtent b="0" l="0" r="0" t="0"/>
            <wp:docPr descr="Рис. 20: Самостоятельная работа. Задание 3.3. Часть 1" title="" id="86" name="Picture"/>
            <a:graphic>
              <a:graphicData uri="http://schemas.openxmlformats.org/drawingml/2006/picture">
                <pic:pic>
                  <pic:nvPicPr>
                    <pic:cNvPr descr="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Самостоятельная работа. Задание 3.3. Часть 1</w:t>
      </w:r>
    </w:p>
    <w:p>
      <w:pPr>
        <w:pStyle w:val="CaptionedFigure"/>
      </w:pPr>
      <w:r>
        <w:drawing>
          <wp:inline>
            <wp:extent cx="3733800" cy="1440086"/>
            <wp:effectExtent b="0" l="0" r="0" t="0"/>
            <wp:docPr descr="Рис. 21: Самостоятельная работа. Задание 3.3. Часть 2" title="" id="89" name="Picture"/>
            <a:graphic>
              <a:graphicData uri="http://schemas.openxmlformats.org/drawingml/2006/picture">
                <pic:pic>
                  <pic:nvPicPr>
                    <pic:cNvPr descr="image/2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Самостоятельная работа. Задание 3.3. Часть 2</w:t>
      </w:r>
    </w:p>
    <w:p>
      <w:pPr>
        <w:pStyle w:val="CaptionedFigure"/>
      </w:pPr>
      <w:r>
        <w:drawing>
          <wp:inline>
            <wp:extent cx="3733800" cy="2077815"/>
            <wp:effectExtent b="0" l="0" r="0" t="0"/>
            <wp:docPr descr="Рис. 22: Самостоятельная работа. Задание 4. Часть 1" title="" id="92" name="Picture"/>
            <a:graphic>
              <a:graphicData uri="http://schemas.openxmlformats.org/drawingml/2006/picture">
                <pic:pic>
                  <pic:nvPicPr>
                    <pic:cNvPr descr="image/22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Самостоятельная работа. Задание 4. Часть 1</w:t>
      </w:r>
    </w:p>
    <w:p>
      <w:pPr>
        <w:pStyle w:val="CaptionedFigure"/>
      </w:pPr>
      <w:r>
        <w:drawing>
          <wp:inline>
            <wp:extent cx="3733800" cy="3609799"/>
            <wp:effectExtent b="0" l="0" r="0" t="0"/>
            <wp:docPr descr="Рис. 23: Самостоятельная работа. Задание 4. Часть 2" title="" id="95" name="Picture"/>
            <a:graphic>
              <a:graphicData uri="http://schemas.openxmlformats.org/drawingml/2006/picture">
                <pic:pic>
                  <pic:nvPicPr>
                    <pic:cNvPr descr="image/23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Самостоятельная работа. Задание 4. Часть 2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были изучены возможности специализированных пакетов Julia для выполнения и оценки эффективности операций над объектами линейной алгебры.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Тазаева Анастасия Анатольевна</dc:creator>
  <dc:language>ru-RU</dc:language>
  <cp:keywords/>
  <dcterms:created xsi:type="dcterms:W3CDTF">2024-12-05T13:13:53Z</dcterms:created>
  <dcterms:modified xsi:type="dcterms:W3CDTF">2024-12-05T13:13:53Z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Линейная алгебра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