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Response to Reviewers</w:t>
      </w:r>
    </w:p>
    <w:p>
      <w:pPr>
        <w:spacing w:after="40"/>
        <w:jc w:val="center"/>
      </w:pPr>
      <w:r>
        <w:rPr>
          <w:rFonts w:ascii="Calibri" w:cs="Calibri" w:eastAsia="Calibri" w:hAnsi="Calibri"/>
          <w:i/>
          <w:iCs/>
          <w:sz w:val="22"/>
          <w:szCs w:val="22"/>
        </w:rPr>
        <w:t xml:space="preserve">Paper ID 945</w:t>
      </w:r>
    </w:p>
    <w:p>
      <w:pPr>
        <w:spacing w:after="300"/>
        <w:jc w:val="center"/>
      </w:pPr>
      <w:r>
        <w:rPr>
          <w:rFonts w:ascii="Calibri" w:cs="Calibri" w:eastAsia="Calibri" w:hAnsi="Calibri"/>
          <w:i/>
          <w:iCs/>
          <w:sz w:val="22"/>
          <w:szCs w:val="22"/>
        </w:rPr>
        <w:t xml:space="preserve">Multi-Pillar Deepfake Detection Based on Vision Transformer and Error Level Analysis</w:t>
      </w:r>
    </w:p>
    <w:p>
      <w:pPr>
        <w:spacing w:after="160" w:line="276"/>
      </w:pPr>
      <w:r>
        <w:rPr>
          <w:rFonts w:ascii="Calibri" w:cs="Calibri" w:eastAsia="Calibri" w:hAnsi="Calibri"/>
          <w:sz w:val="22"/>
          <w:szCs w:val="22"/>
        </w:rPr>
        <w:t xml:space="preserve">We thank both reviewers for their careful reading and constructive comments. Both reviewers rated the topic's relevance and novelty highly and agreed that the core contribution — the five-pillar architecture with a deterministic override rule — is significant and original. The comments raised centered on three points: (1) incomplete literature-review citations, (2) the fact that only the ViT and Benford pillars carry full quantitative backing, with no integrated end-to-end evaluation of the fusion/override mechanism, and (3) presentation issues, including inconsistent metrics in Table II. Below we summarize the changes made in this revision and respond to each comment individually.</w:t>
      </w:r>
    </w:p>
    <w:p>
      <w:pPr>
        <w:pStyle w:val="Heading1"/>
        <w:spacing w:after="150" w:before="300"/>
      </w:pPr>
      <w:r>
        <w:t xml:space="preserve">Summary of Revisions</w:t>
      </w:r>
    </w:p>
    <w:p>
      <w:pPr>
        <w:pStyle w:val="ListParagraph"/>
        <w:numPr>
          <w:ilvl w:val="0"/>
          <w:numId w:val="1"/>
        </w:numPr>
        <w:spacing w:after="100" w:line="276"/>
      </w:pPr>
      <w:r>
        <w:rPr>
          <w:rFonts w:ascii="Calibri" w:cs="Calibri" w:eastAsia="Calibri" w:hAnsi="Calibri"/>
          <w:sz w:val="22"/>
          <w:szCs w:val="22"/>
        </w:rPr>
        <w:t xml:space="preserve">Completed the literature review reference list (carried over from the prior revision cycle) — all previously flagged placeholder citations are filled in; no “[author to fill in]” markers remain anywhere in the manuscript.</w:t>
      </w:r>
    </w:p>
    <w:p>
      <w:pPr>
        <w:pStyle w:val="ListParagraph"/>
        <w:numPr>
          <w:ilvl w:val="0"/>
          <w:numId w:val="1"/>
        </w:numPr>
        <w:spacing w:after="100" w:line="276"/>
      </w:pPr>
      <w:r>
        <w:rPr>
          <w:rFonts w:ascii="Calibri" w:cs="Calibri" w:eastAsia="Calibri" w:hAnsi="Calibri"/>
          <w:sz w:val="22"/>
          <w:szCs w:val="22"/>
        </w:rPr>
        <w:t xml:space="preserve">Rewrote the Analysis subsection (Section IV) to add an explicit description of the Explainable AI (XAI) outputs each pillar produces — attention-rollout heatmaps, rPPG waveforms, Mel-spectrograms, Benford bar charts, and RANSAC/shadow overlays — and their consolidation into a single “Forensic Audit Dossier” reporting verdict, confidence, and feature attribution.</w:t>
      </w:r>
    </w:p>
    <w:p>
      <w:pPr>
        <w:pStyle w:val="ListParagraph"/>
        <w:numPr>
          <w:ilvl w:val="0"/>
          <w:numId w:val="1"/>
        </w:numPr>
        <w:spacing w:after="100" w:line="276"/>
      </w:pPr>
      <w:r>
        <w:rPr>
          <w:rFonts w:ascii="Calibri" w:cs="Calibri" w:eastAsia="Calibri" w:hAnsi="Calibri"/>
          <w:sz w:val="22"/>
          <w:szCs w:val="22"/>
        </w:rPr>
        <w:t xml:space="preserve">Reframed the Fusion &amp; Efficiency discussion (Section IV) as a reliability-weighted fusion engine layered under the deterministic override, clarifying how physically grounded pillars are weighted more heavily than the ML pillar under domain shift, rather than describing fusion purely as fixed hard-override gating.</w:t>
      </w:r>
    </w:p>
    <w:p>
      <w:pPr>
        <w:pStyle w:val="ListParagraph"/>
        <w:numPr>
          <w:ilvl w:val="0"/>
          <w:numId w:val="1"/>
        </w:numPr>
        <w:spacing w:after="100" w:line="276"/>
      </w:pPr>
      <w:r>
        <w:rPr>
          <w:rFonts w:ascii="Calibri" w:cs="Calibri" w:eastAsia="Calibri" w:hAnsi="Calibri"/>
          <w:sz w:val="22"/>
          <w:szCs w:val="22"/>
        </w:rPr>
        <w:t xml:space="preserve">Rewrote the Conclusion and Future Scope (Section VI) to foreground the KYC case study (Section V) as a worked, end-to-end demonstration of the override mechanism — a selfie + payslip example in which the ViT pillar alone would accept the sample, but the override correctly rejects it using the missing rPPG pulse signal and an anomalous Benford MAE on the payslip — rather than describing end-to-end validation only as a future-work item.</w:t>
      </w:r>
    </w:p>
    <w:p>
      <w:pPr>
        <w:spacing w:after="160" w:line="276"/>
      </w:pPr>
      <w:r>
        <w:rPr>
          <w:rFonts w:ascii="Calibri" w:cs="Calibri" w:eastAsia="Calibri" w:hAnsi="Calibri"/>
          <w:sz w:val="22"/>
          <w:szCs w:val="22"/>
        </w:rPr>
        <w:t xml:space="preserve">The remainder of the manuscript (Introduction, Literature Review, Materials and Methods, Proposed Framework, Experimental Setup, Performance Metrics, Results tables/figures, and the Real-Time Case Study narrative itself) is unchanged from the previously submitted version.</w:t>
      </w:r>
    </w:p>
    <w:p>
      <w:pPr>
        <w:pStyle w:val="Heading1"/>
        <w:spacing w:after="150" w:before="300"/>
      </w:pPr>
      <w:r>
        <w:t xml:space="preserve">Point-by-Point Response — Reviewer #1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4200"/>
        <w:gridCol w:w="1450"/>
      </w:tblGrid>
      <w:tr>
        <w:trPr>
          <w:tblHeader/>
        </w:trPr>
        <w:tc>
          <w:tcPr>
            <w:tcW w:type="dxa" w:w="50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w:t>
            </w:r>
          </w:p>
        </w:tc>
        <w:tc>
          <w:tcPr>
            <w:tcW w:type="dxa" w:w="340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Reviewer Comment</w:t>
            </w:r>
          </w:p>
        </w:tc>
        <w:tc>
          <w:tcPr>
            <w:tcW w:type="dxa" w:w="420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Response / Action Taken</w:t>
            </w:r>
          </w:p>
        </w:tc>
        <w:tc>
          <w:tcPr>
            <w:tcW w:type="dxa" w:w="145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Status</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1</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Four literature-review entries were left as raw placeholders (“[author to fill in: ...]”) and must be completed.</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All literature-review placeholders were filled in a prior revision cycle. The manuscript submitted for this round contains a complete, fully cited reference list (16 references, Section II and References) with no placeholder text remaining.</w:t>
            </w:r>
          </w:p>
        </w:tc>
        <w:tc>
          <w:tcPr>
            <w:tcW w:type="dxa" w:w="1450"/>
            <w:shd w:fill="D9EAD3" w:val="clear"/>
            <w:tcMar>
              <w:top w:type="dxa" w:w="100"/>
              <w:left w:type="dxa" w:w="100"/>
              <w:bottom w:type="dxa" w:w="100"/>
              <w:right w:type="dxa" w:w="100"/>
            </w:tcMar>
          </w:tcPr>
          <w:p>
            <w:r>
              <w:rPr>
                <w:rFonts w:ascii="Calibri" w:cs="Calibri" w:eastAsia="Calibri" w:hAnsi="Calibri"/>
                <w:b/>
                <w:bCs/>
                <w:sz w:val="20"/>
                <w:szCs w:val="20"/>
              </w:rPr>
              <w:t xml:space="preserve">Addressed</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2</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Only the ViT and acoustic/Benford pillars have full experimental backing; the rPPG and geometry pillars, and critically the fused end-to-end override mechanism, are never evaluated together on a real multimodal dataset. Reviewer suggested either an end-to-end multimodal evaluation or explicitly scoping the paper to the ViT pillar with the rest as future work.</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The Real-Time Case Study (Section V) and the revised Conclusion and Future Scope (Section VI) now explicitly foreground the KYC scenario — a selfie + payslip submission that the ViT pillar alone would have accepted, but which the deterministic override correctly rejects using the absent rPPG pulse signal together with an anomalous Benford MAE on the payslip — as a concrete, worked demonstration of the fusion/override mechanism operating end-to-end across pillars. The Conclusion now states this case study as the paper's evidence for the override mechanism, while continuing to scope the paper's quantitative validation explicitly to the ViT pillar. A statistically powered evaluation of the fusion/override rule on a labeled multimodal dataset (rather than a single illustrative case) has not yet been run and is retained as future work.</w:t>
            </w:r>
          </w:p>
        </w:tc>
        <w:tc>
          <w:tcPr>
            <w:tcW w:type="dxa" w:w="1450"/>
            <w:shd w:fill="FFF2CC" w:val="clear"/>
            <w:tcMar>
              <w:top w:type="dxa" w:w="100"/>
              <w:left w:type="dxa" w:w="100"/>
              <w:bottom w:type="dxa" w:w="100"/>
              <w:right w:type="dxa" w:w="100"/>
            </w:tcMar>
          </w:tcPr>
          <w:p>
            <w:r>
              <w:rPr>
                <w:rFonts w:ascii="Calibri" w:cs="Calibri" w:eastAsia="Calibri" w:hAnsi="Calibri"/>
                <w:b/>
                <w:bCs/>
                <w:sz w:val="20"/>
                <w:szCs w:val="20"/>
              </w:rPr>
              <w:t xml:space="preserve">Partially Addressed</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3</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Add proper ROC/PR results for the rPPG and geometry pillars instead of single-threshold statements.</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Not yet implemented in this revision. The rPPG pillar is still reported via a single SNR/BPM threshold (Section IV) and the geometry pillar via a single pixel-asymmetry threshold; no ROC/PR curves have been added for either pillar.</w:t>
            </w:r>
          </w:p>
        </w:tc>
        <w:tc>
          <w:tcPr>
            <w:tcW w:type="dxa" w:w="1450"/>
            <w:shd w:fill="F4CCCC" w:val="clear"/>
            <w:tcMar>
              <w:top w:type="dxa" w:w="100"/>
              <w:left w:type="dxa" w:w="100"/>
              <w:bottom w:type="dxa" w:w="100"/>
              <w:right w:type="dxa" w:w="100"/>
            </w:tcMar>
          </w:tcPr>
          <w:p>
            <w:r>
              <w:rPr>
                <w:rFonts w:ascii="Calibri" w:cs="Calibri" w:eastAsia="Calibri" w:hAnsi="Calibri"/>
                <w:b/>
                <w:bCs/>
                <w:sz w:val="20"/>
                <w:szCs w:val="20"/>
              </w:rPr>
              <w:t xml:space="preserve">Not Yet Addressed</w:t>
            </w:r>
          </w:p>
        </w:tc>
      </w:tr>
    </w:tbl>
    <w:p>
      <w:pPr>
        <w:spacing w:before="300"/>
      </w:pPr>
    </w:p>
    <w:p>
      <w:pPr>
        <w:pStyle w:val="Heading1"/>
        <w:spacing w:after="150" w:before="300"/>
      </w:pPr>
      <w:r>
        <w:t xml:space="preserve">Point-by-Point Response — Reviewer #2</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4200"/>
        <w:gridCol w:w="1450"/>
      </w:tblGrid>
      <w:tr>
        <w:trPr>
          <w:tblHeader/>
        </w:trPr>
        <w:tc>
          <w:tcPr>
            <w:tcW w:type="dxa" w:w="50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w:t>
            </w:r>
          </w:p>
        </w:tc>
        <w:tc>
          <w:tcPr>
            <w:tcW w:type="dxa" w:w="340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Reviewer Comment</w:t>
            </w:r>
          </w:p>
        </w:tc>
        <w:tc>
          <w:tcPr>
            <w:tcW w:type="dxa" w:w="420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Response / Action Taken</w:t>
            </w:r>
          </w:p>
        </w:tc>
        <w:tc>
          <w:tcPr>
            <w:tcW w:type="dxa" w:w="1450"/>
            <w:shd w:fill="434343" w:val="clear"/>
            <w:tcMar>
              <w:top w:type="dxa" w:w="100"/>
              <w:left w:type="dxa" w:w="100"/>
              <w:bottom w:type="dxa" w:w="100"/>
              <w:right w:type="dxa" w:w="100"/>
            </w:tcMar>
          </w:tcPr>
          <w:p>
            <w:r>
              <w:rPr>
                <w:rFonts w:ascii="Calibri" w:cs="Calibri" w:eastAsia="Calibri" w:hAnsi="Calibri"/>
                <w:b/>
                <w:bCs/>
                <w:color w:val="FFFFFF"/>
                <w:sz w:val="20"/>
                <w:szCs w:val="20"/>
              </w:rPr>
              <w:t xml:space="preserve">Status</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1</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The literature review contains several “[author to fill in]” placeholders that must be completed.</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Same as R1-1 above — already resolved prior to this revision; reference list is complete.</w:t>
            </w:r>
          </w:p>
        </w:tc>
        <w:tc>
          <w:tcPr>
            <w:tcW w:type="dxa" w:w="1450"/>
            <w:shd w:fill="D9EAD3" w:val="clear"/>
            <w:tcMar>
              <w:top w:type="dxa" w:w="100"/>
              <w:left w:type="dxa" w:w="100"/>
              <w:bottom w:type="dxa" w:w="100"/>
              <w:right w:type="dxa" w:w="100"/>
            </w:tcMar>
          </w:tcPr>
          <w:p>
            <w:r>
              <w:rPr>
                <w:rFonts w:ascii="Calibri" w:cs="Calibri" w:eastAsia="Calibri" w:hAnsi="Calibri"/>
                <w:b/>
                <w:bCs/>
                <w:sz w:val="20"/>
                <w:szCs w:val="20"/>
              </w:rPr>
              <w:t xml:space="preserve">Addressed</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2</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Only Pillar 1 (ViT) is rigorously evaluated with ablation and baselines; the other four pillars report only isolated summary statistics without integrated end-to-end evaluation of the fusion/override mechanism.</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Same revision as R1-2 above: the KYC case study is now used explicitly in the Conclusion as an end-to-end illustration of the override mechanism drawing on Pillars 1, 2, and 4 together. A full integrated evaluation across all five pillars on a shared multimodal dataset remains future work.</w:t>
            </w:r>
          </w:p>
        </w:tc>
        <w:tc>
          <w:tcPr>
            <w:tcW w:type="dxa" w:w="1450"/>
            <w:shd w:fill="FFF2CC" w:val="clear"/>
            <w:tcMar>
              <w:top w:type="dxa" w:w="100"/>
              <w:left w:type="dxa" w:w="100"/>
              <w:bottom w:type="dxa" w:w="100"/>
              <w:right w:type="dxa" w:w="100"/>
            </w:tcMar>
          </w:tcPr>
          <w:p>
            <w:r>
              <w:rPr>
                <w:rFonts w:ascii="Calibri" w:cs="Calibri" w:eastAsia="Calibri" w:hAnsi="Calibri"/>
                <w:b/>
                <w:bCs/>
                <w:sz w:val="20"/>
                <w:szCs w:val="20"/>
              </w:rPr>
              <w:t xml:space="preserve">Partially Addressed</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3</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Table II mixes accuracy and AUC across rows/protocols inconsistently, which needs clarification.</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Not yet corrected in this revision. Table II (Section IV, Results) still reports a mix of AUC-only rows (MesoNet, XceptionNet, ViXNet, Heo et al.) and accuracy/F1 rows (MPDD-ViT-ELA variants) without a clarifying note. Recommend adding a footnote clarifying which metric each baseline originally reported, or splitting into two tables (AUC-comparable vs. accuracy-comparable) before camera-ready submission.</w:t>
            </w:r>
          </w:p>
        </w:tc>
        <w:tc>
          <w:tcPr>
            <w:tcW w:type="dxa" w:w="1450"/>
            <w:shd w:fill="F4CCCC" w:val="clear"/>
            <w:tcMar>
              <w:top w:type="dxa" w:w="100"/>
              <w:left w:type="dxa" w:w="100"/>
              <w:bottom w:type="dxa" w:w="100"/>
              <w:right w:type="dxa" w:w="100"/>
            </w:tcMar>
          </w:tcPr>
          <w:p>
            <w:r>
              <w:rPr>
                <w:rFonts w:ascii="Calibri" w:cs="Calibri" w:eastAsia="Calibri" w:hAnsi="Calibri"/>
                <w:b/>
                <w:bCs/>
                <w:sz w:val="20"/>
                <w:szCs w:val="20"/>
              </w:rPr>
              <w:t xml:space="preserve">Not Yet Addressed</w:t>
            </w:r>
          </w:p>
        </w:tc>
      </w:tr>
      <w:tr>
        <w:tc>
          <w:tcPr>
            <w:tcW w:type="dxa" w:w="5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4</w:t>
            </w:r>
          </w:p>
        </w:tc>
        <w:tc>
          <w:tcPr>
            <w:tcW w:type="dxa" w:w="34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Proofread abstract/intro.</w:t>
            </w:r>
          </w:p>
        </w:tc>
        <w:tc>
          <w:tcPr>
            <w:tcW w:type="dxa" w:w="4200"/>
            <w:tcMar>
              <w:top w:type="dxa" w:w="100"/>
              <w:left w:type="dxa" w:w="100"/>
              <w:bottom w:type="dxa" w:w="100"/>
              <w:right w:type="dxa" w:w="100"/>
            </w:tcMar>
          </w:tcPr>
          <w:p>
            <w:pPr>
              <w:spacing w:after="0" w:line="260"/>
            </w:pPr>
            <w:r>
              <w:rPr>
                <w:rFonts w:ascii="Calibri" w:cs="Calibri" w:eastAsia="Calibri" w:hAnsi="Calibri"/>
                <w:b w:val="false"/>
                <w:bCs w:val="false"/>
                <w:sz w:val="20"/>
                <w:szCs w:val="20"/>
              </w:rPr>
              <w:t xml:space="preserve">Not specifically revised in this pass — the Introduction and Abstract are unchanged from the previous version. Note for the author: the rewritten Analysis paragraph introduced in this revision (Section IV) contains some phrasing that reads less fluently than the original (e.g., “MPDD-ViT-ELA is a synthetic media that is assessed by...”) and would benefit from a language pass before submission.</w:t>
            </w:r>
          </w:p>
        </w:tc>
        <w:tc>
          <w:tcPr>
            <w:tcW w:type="dxa" w:w="1450"/>
            <w:shd w:fill="F4CCCC" w:val="clear"/>
            <w:tcMar>
              <w:top w:type="dxa" w:w="100"/>
              <w:left w:type="dxa" w:w="100"/>
              <w:bottom w:type="dxa" w:w="100"/>
              <w:right w:type="dxa" w:w="100"/>
            </w:tcMar>
          </w:tcPr>
          <w:p>
            <w:r>
              <w:rPr>
                <w:rFonts w:ascii="Calibri" w:cs="Calibri" w:eastAsia="Calibri" w:hAnsi="Calibri"/>
                <w:b/>
                <w:bCs/>
                <w:sz w:val="20"/>
                <w:szCs w:val="20"/>
              </w:rPr>
              <w:t xml:space="preserve">Not Yet Addressed</w:t>
            </w:r>
          </w:p>
        </w:tc>
      </w:tr>
    </w:tbl>
    <w:p>
      <w:pPr>
        <w:pStyle w:val="Heading1"/>
        <w:spacing w:after="150" w:before="300"/>
      </w:pPr>
      <w:r>
        <w:t xml:space="preserve">Outstanding Items for Camera-Ready / Next Revision</w:t>
      </w:r>
    </w:p>
    <w:p>
      <w:pPr>
        <w:spacing w:after="160" w:line="276"/>
      </w:pPr>
      <w:r>
        <w:rPr>
          <w:rFonts w:ascii="Calibri" w:cs="Calibri" w:eastAsia="Calibri" w:hAnsi="Calibri"/>
          <w:sz w:val="22"/>
          <w:szCs w:val="22"/>
        </w:rPr>
        <w:t xml:space="preserve">The following items, raised by one or both reviewers, are not yet resolved and are flagged here for the author's attention before the paper is resubmitted or finalized:</w:t>
      </w:r>
    </w:p>
    <w:p>
      <w:pPr>
        <w:pStyle w:val="ListParagraph"/>
        <w:numPr>
          <w:ilvl w:val="0"/>
          <w:numId w:val="1"/>
        </w:numPr>
        <w:spacing w:after="100" w:line="276"/>
      </w:pPr>
      <w:r>
        <w:rPr>
          <w:rFonts w:ascii="Calibri" w:cs="Calibri" w:eastAsia="Calibri" w:hAnsi="Calibri"/>
          <w:sz w:val="22"/>
          <w:szCs w:val="22"/>
        </w:rPr>
        <w:t xml:space="preserve">Table II (Section IV) still mixes AUC-only and accuracy/F1 rows without a clarifying note — add a footnote or split into two tables.</w:t>
      </w:r>
    </w:p>
    <w:p>
      <w:pPr>
        <w:pStyle w:val="ListParagraph"/>
        <w:numPr>
          <w:ilvl w:val="0"/>
          <w:numId w:val="1"/>
        </w:numPr>
        <w:spacing w:after="100" w:line="276"/>
      </w:pPr>
      <w:r>
        <w:rPr>
          <w:rFonts w:ascii="Calibri" w:cs="Calibri" w:eastAsia="Calibri" w:hAnsi="Calibri"/>
          <w:sz w:val="22"/>
          <w:szCs w:val="22"/>
        </w:rPr>
        <w:t xml:space="preserve">No ROC/PR curves have been added for the rPPG (Pillar 2) or geometry (Pillar 4) pillars; both are still reported via single-threshold statistics.</w:t>
      </w:r>
    </w:p>
    <w:p>
      <w:pPr>
        <w:pStyle w:val="ListParagraph"/>
        <w:numPr>
          <w:ilvl w:val="0"/>
          <w:numId w:val="1"/>
        </w:numPr>
        <w:spacing w:after="100" w:line="276"/>
      </w:pPr>
      <w:r>
        <w:rPr>
          <w:rFonts w:ascii="Calibri" w:cs="Calibri" w:eastAsia="Calibri" w:hAnsi="Calibri"/>
          <w:sz w:val="22"/>
          <w:szCs w:val="22"/>
        </w:rPr>
        <w:t xml:space="preserve">The fusion/override mechanism has not been evaluated end-to-end on a labeled multimodal dataset — current evidence is a single qualitative KYC case study, not a statistically powered test across all five pillars.</w:t>
      </w:r>
    </w:p>
    <w:p>
      <w:pPr>
        <w:pStyle w:val="ListParagraph"/>
        <w:numPr>
          <w:ilvl w:val="0"/>
          <w:numId w:val="1"/>
        </w:numPr>
        <w:spacing w:after="100" w:line="276"/>
      </w:pPr>
      <w:r>
        <w:rPr>
          <w:rFonts w:ascii="Calibri" w:cs="Calibri" w:eastAsia="Calibri" w:hAnsi="Calibri"/>
          <w:sz w:val="22"/>
          <w:szCs w:val="22"/>
        </w:rPr>
        <w:t xml:space="preserve">The newly added Analysis paragraph (Section IV) has some awkward phrasing (e.g., “MPDD-ViT-ELA is a synthetic media that is assessed by...”) and would benefit from a proofreading pass, consistent with Reviewer #2's request to proofread the abstract/intro.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2026-09-08T10:20:33.071Z</dcterms:created>
  <dcterms:modified xsi:type="dcterms:W3CDTF">2026-09-08T10:20:33.082Z</dcterms:modified>
</cp:coreProperties>
</file>

<file path=docProps/custom.xml><?xml version="1.0" encoding="utf-8"?>
<Properties xmlns="http://schemas.openxmlformats.org/officeDocument/2006/custom-properties" xmlns:vt="http://schemas.openxmlformats.org/officeDocument/2006/docPropsVTypes"/>
</file>