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b/>
          <w:bCs/>
          <w:color w:val="1F4E5F"/>
          <w:sz w:val="52"/>
          <w:szCs w:val="52"/>
        </w:rPr>
        <w:t xml:space="preserve">Cyber Deal Engine</w:t>
      </w:r>
    </w:p>
    <w:p>
      <w:pPr>
        <w:spacing w:after="60"/>
      </w:pPr>
      <w:r>
        <w:rPr>
          <w:i/>
          <w:iCs/>
          <w:color w:val="5A5A5A"/>
          <w:sz w:val="26"/>
          <w:szCs w:val="26"/>
        </w:rPr>
        <w:t xml:space="preserve">Grounded cyber sales intelligence with a never-fabricate guarantee</w:t>
      </w:r>
    </w:p>
    <w:p>
      <w:pPr>
        <w:spacing w:after="120"/>
      </w:pPr>
      <w:r>
        <w:rPr>
          <w:color w:val="5A5A5A"/>
          <w:sz w:val="20"/>
          <w:szCs w:val="20"/>
        </w:rPr>
        <w:t xml:space="preserve">AI Product Case Study</w:t>
      </w:r>
    </w:p>
    <w:p>
      <w:pPr>
        <w:pBdr>
          <w:bottom w:val="single" w:color="1F4E5F" w:sz="6"/>
        </w:pBdr>
        <w:spacing w:after="160" w:before="60"/>
      </w:pPr>
    </w:p>
    <w:p>
      <w:pPr>
        <w:pStyle w:val="Heading1"/>
        <w:spacing w:after="140" w:before="320"/>
      </w:pPr>
      <w:r>
        <w:rPr>
          <w:b/>
          <w:bCs/>
          <w:color w:val="1F4E5F"/>
          <w:sz w:val="30"/>
          <w:szCs w:val="30"/>
        </w:rPr>
        <w:t xml:space="preserve">The one-paragraph version</w:t>
      </w:r>
    </w:p>
    <w:p>
      <w:pPr>
        <w:spacing w:after="140" w:line="276"/>
      </w:pPr>
      <w:r>
        <w:rPr>
          <w:sz w:val="21"/>
          <w:szCs w:val="21"/>
        </w:rPr>
        <w:t xml:space="preserve">Cybersecurity reps open prospect meetings without knowing the one fact that would earn the conversation — a recent breach, a disclosed CVE, a compliance deadline. That intelligence exists but is scattered and noisy, and a </w:t>
      </w:r>
      <w:r>
        <w:rPr>
          <w:i/>
          <w:iCs/>
          <w:sz w:val="21"/>
          <w:szCs w:val="21"/>
        </w:rPr>
        <w:t xml:space="preserve">wrong</w:t>
      </w:r>
      <w:r>
        <w:rPr>
          <w:sz w:val="21"/>
          <w:szCs w:val="21"/>
        </w:rPr>
        <w:t xml:space="preserve"> hook (an unrelated company's breach, a CVE that isn't theirs) is worse than none. Cyber Deal Engine turns real security signals into a structured pre-meeting brief, built on one non-negotiable rule: </w:t>
      </w:r>
      <w:r>
        <w:rPr>
          <w:b/>
          <w:bCs/>
          <w:sz w:val="21"/>
          <w:szCs w:val="21"/>
        </w:rPr>
        <w:t xml:space="preserve">never fabricate a breach, CVE, date, or number.</w:t>
      </w:r>
      <w:r>
        <w:rPr>
          <w:sz w:val="21"/>
          <w:szCs w:val="21"/>
        </w:rPr>
        <w:t xml:space="preserve"> The hard part isn't generating a brief — it's proving it doesn't lie. So the product is built around a measurable faithfulness contract: deterministic guardrails plus an independent LLM judge, run over a hand-built golden dataset, with every quality claim backed by a re-runnable eval.</w:t>
      </w:r>
    </w:p>
    <w:p>
      <w:pPr>
        <w:pStyle w:val="Heading1"/>
        <w:spacing w:after="140" w:before="320"/>
      </w:pPr>
      <w:r>
        <w:rPr>
          <w:b/>
          <w:bCs/>
          <w:color w:val="1F4E5F"/>
          <w:sz w:val="30"/>
          <w:szCs w:val="30"/>
        </w:rPr>
        <w:t xml:space="preserve">1. Problem &amp; users</w:t>
      </w:r>
    </w:p>
    <w:p>
      <w:pPr>
        <w:spacing w:after="140" w:line="276"/>
      </w:pPr>
      <w:r>
        <w:rPr>
          <w:b/>
          <w:bCs/>
          <w:sz w:val="21"/>
          <w:szCs w:val="21"/>
        </w:rPr>
        <w:t xml:space="preserve">Primary user: </w:t>
      </w:r>
      <w:r>
        <w:rPr>
          <w:sz w:val="21"/>
          <w:szCs w:val="21"/>
        </w:rPr>
        <w:t xml:space="preserve">a cybersecurity sales rep (AE/SDR) preparing for a first meeting with a named prospect. The job to be done: </w:t>
      </w:r>
      <w:r>
        <w:rPr>
          <w:i/>
          <w:iCs/>
          <w:sz w:val="21"/>
          <w:szCs w:val="21"/>
        </w:rPr>
        <w:t xml:space="preserve">“Before I meet &lt;company&gt;, give me a defensible reason to open the conversation — grounded in something that actually happened, never made up.”</w:t>
      </w:r>
    </w:p>
    <w:p>
      <w:pPr>
        <w:spacing w:after="140" w:line="276"/>
      </w:pPr>
      <w:r>
        <w:rPr>
          <w:sz w:val="21"/>
          <w:szCs w:val="21"/>
        </w:rPr>
        <w:t xml:space="preserve">The initial market is mid-market SaaS/fintech, chosen for thin competition, low signal noise, and a tractable universe to evaluate against. But geography is a </w:t>
      </w:r>
      <w:r>
        <w:rPr>
          <w:b/>
          <w:bCs/>
          <w:sz w:val="21"/>
          <w:szCs w:val="21"/>
        </w:rPr>
        <w:t xml:space="preserve">config object, not code</w:t>
      </w:r>
      <w:r>
        <w:rPr>
          <w:sz w:val="21"/>
          <w:szCs w:val="21"/>
        </w:rPr>
        <w:t xml:space="preserve">: a single market profile drives the compliance vocabulary and breach keywords, so “we scaled to a new region” is a one-line switch and a growth story, not a rewrite.</w:t>
      </w:r>
    </w:p>
    <w:p>
      <w:pPr>
        <w:pStyle w:val="Heading1"/>
        <w:spacing w:after="140" w:before="320"/>
      </w:pPr>
      <w:r>
        <w:rPr>
          <w:b/>
          <w:bCs/>
          <w:color w:val="1F4E5F"/>
          <w:sz w:val="30"/>
          <w:szCs w:val="30"/>
        </w:rPr>
        <w:t xml:space="preserve">2. What it produces</w:t>
      </w:r>
    </w:p>
    <w:p>
      <w:pPr>
        <w:spacing w:after="140" w:line="276"/>
      </w:pPr>
      <w:r>
        <w:rPr>
          <w:sz w:val="21"/>
          <w:szCs w:val="21"/>
        </w:rPr>
        <w:t xml:space="preserve">For a given prospect the engine emits a schema-validated brief:</w:t>
      </w:r>
    </w:p>
    <w:p>
      <w:pPr>
        <w:pStyle w:val="ListParagraph"/>
        <w:numPr>
          <w:ilvl w:val="0"/>
          <w:numId w:val="2"/>
        </w:numPr>
        <w:spacing w:after="90" w:line="276"/>
      </w:pPr>
      <w:r>
        <w:rPr>
          <w:b/>
          <w:bCs/>
          <w:sz w:val="21"/>
          <w:szCs w:val="21"/>
        </w:rPr>
        <w:t xml:space="preserve">Buying triggers</w:t>
      </w:r>
      <w:r>
        <w:rPr>
          <w:sz w:val="21"/>
          <w:szCs w:val="21"/>
        </w:rPr>
        <w:t xml:space="preserve"> detected in the context, ordered by sales urgency (breach → vulnerability → compliance → peer breach → M&amp;A/funding → growth → customer demand → insurer/board → visibility gap).</w:t>
      </w:r>
    </w:p>
    <w:p>
      <w:pPr>
        <w:pStyle w:val="ListParagraph"/>
        <w:numPr>
          <w:ilvl w:val="0"/>
          <w:numId w:val="2"/>
        </w:numPr>
        <w:spacing w:after="90" w:line="276"/>
      </w:pPr>
      <w:r>
        <w:rPr>
          <w:b/>
          <w:bCs/>
          <w:sz w:val="21"/>
          <w:szCs w:val="21"/>
        </w:rPr>
        <w:t xml:space="preserve">3 key points</w:t>
      </w:r>
      <w:r>
        <w:rPr>
          <w:sz w:val="21"/>
          <w:szCs w:val="21"/>
        </w:rPr>
        <w:t xml:space="preserve">, led by the highest-urgency trigger.</w:t>
      </w:r>
    </w:p>
    <w:p>
      <w:pPr>
        <w:pStyle w:val="ListParagraph"/>
        <w:numPr>
          <w:ilvl w:val="0"/>
          <w:numId w:val="2"/>
        </w:numPr>
        <w:spacing w:after="90" w:line="276"/>
      </w:pPr>
      <w:r>
        <w:rPr>
          <w:b/>
          <w:bCs/>
          <w:sz w:val="21"/>
          <w:szCs w:val="21"/>
        </w:rPr>
        <w:t xml:space="preserve">A meeting opener</w:t>
      </w:r>
      <w:r>
        <w:rPr>
          <w:sz w:val="21"/>
          <w:szCs w:val="21"/>
        </w:rPr>
        <w:t xml:space="preserve"> the rep can say out loud, anchored to that trigger.</w:t>
      </w:r>
    </w:p>
    <w:p>
      <w:pPr>
        <w:pStyle w:val="ListParagraph"/>
        <w:numPr>
          <w:ilvl w:val="0"/>
          <w:numId w:val="2"/>
        </w:numPr>
        <w:spacing w:after="90" w:line="276"/>
      </w:pPr>
      <w:r>
        <w:rPr>
          <w:b/>
          <w:bCs/>
          <w:sz w:val="21"/>
          <w:szCs w:val="21"/>
        </w:rPr>
        <w:t xml:space="preserve">Stakeholder roles, discovery questions, and likely objections</w:t>
      </w:r>
      <w:r>
        <w:rPr>
          <w:sz w:val="21"/>
          <w:szCs w:val="21"/>
        </w:rPr>
        <w:t xml:space="preserve"> — role-level, never invented individuals.</w:t>
      </w:r>
    </w:p>
    <w:p>
      <w:pPr>
        <w:spacing w:after="140" w:line="276"/>
      </w:pPr>
      <w:r>
        <w:rPr>
          <w:sz w:val="21"/>
          <w:szCs w:val="21"/>
        </w:rPr>
        <w:t xml:space="preserve">When there is no real trigger, the brief says so and falls back to generic discovery language rather than inventing an incident. Every listed trigger must trace to a real, cited event.</w:t>
      </w:r>
    </w:p>
    <w:p>
      <w:pPr>
        <w:pStyle w:val="Heading1"/>
        <w:spacing w:after="140" w:before="320"/>
      </w:pPr>
      <w:r>
        <w:rPr>
          <w:b/>
          <w:bCs/>
          <w:color w:val="1F4E5F"/>
          <w:sz w:val="30"/>
          <w:szCs w:val="30"/>
        </w:rPr>
        <w:t xml:space="preserve">3. How it works</w:t>
      </w:r>
    </w:p>
    <w:p>
      <w:pPr>
        <w:spacing w:after="140" w:line="276"/>
      </w:pPr>
      <w:r>
        <w:rPr>
          <w:rFonts w:ascii="Consolas" w:cs="Consolas" w:eastAsia="Consolas" w:hAnsi="Consolas"/>
          <w:color w:val="1F4E5F"/>
          <w:sz w:val="20"/>
          <w:szCs w:val="20"/>
        </w:rPr>
        <w:t xml:space="preserve">sources → ingest → store → retrieve → generate → [critique → revise]* → brief</w:t>
      </w:r>
    </w:p>
    <w:p>
      <w:pPr>
        <w:pStyle w:val="ListParagraph"/>
        <w:numPr>
          <w:ilvl w:val="0"/>
          <w:numId w:val="2"/>
        </w:numPr>
        <w:spacing w:after="90" w:line="276"/>
      </w:pPr>
      <w:r>
        <w:rPr>
          <w:b/>
          <w:bCs/>
          <w:sz w:val="21"/>
          <w:szCs w:val="21"/>
        </w:rPr>
        <w:t xml:space="preserve">Ingest: </w:t>
      </w:r>
      <w:r>
        <w:rPr>
          <w:sz w:val="21"/>
          <w:szCs w:val="21"/>
        </w:rPr>
        <w:t xml:space="preserve">NVD (CVEs, keyless) and NewsAPI (breach events). NVD is treated honestly as a vulnerability catalogue, not a breach feed — a keyword hit means “a CVE mentions this term,” never “this company was breached.”</w:t>
      </w:r>
    </w:p>
    <w:p>
      <w:pPr>
        <w:pStyle w:val="ListParagraph"/>
        <w:numPr>
          <w:ilvl w:val="0"/>
          <w:numId w:val="2"/>
        </w:numPr>
        <w:spacing w:after="90" w:line="276"/>
      </w:pPr>
      <w:r>
        <w:rPr>
          <w:b/>
          <w:bCs/>
          <w:sz w:val="21"/>
          <w:szCs w:val="21"/>
        </w:rPr>
        <w:t xml:space="preserve">Store &amp; retrieve: </w:t>
      </w:r>
      <w:r>
        <w:rPr>
          <w:sz w:val="21"/>
          <w:szCs w:val="21"/>
        </w:rPr>
        <w:t xml:space="preserve">SQLAlchemy storage deduped by URL; a precision filter drops NVD name-collisions (searching “CRED” must not match “credential,” and a third-party WordPress plugin carrying the company name is not the company's own vulnerability). An opt-in embedding reranker floats the hero signal first.</w:t>
      </w:r>
    </w:p>
    <w:p>
      <w:pPr>
        <w:pStyle w:val="ListParagraph"/>
        <w:numPr>
          <w:ilvl w:val="0"/>
          <w:numId w:val="2"/>
        </w:numPr>
        <w:spacing w:after="90" w:line="276"/>
      </w:pPr>
      <w:r>
        <w:rPr>
          <w:b/>
          <w:bCs/>
          <w:sz w:val="21"/>
          <w:szCs w:val="21"/>
        </w:rPr>
        <w:t xml:space="preserve">Two retrieval paths: </w:t>
      </w:r>
      <w:r>
        <w:rPr>
          <w:sz w:val="21"/>
          <w:szCs w:val="21"/>
        </w:rPr>
        <w:t xml:space="preserve">a scheduled watchlist for tracked accounts, and an on-demand live fetch that briefs any company in real time with no stored DB — the path that survives an ephemeral host.</w:t>
      </w:r>
    </w:p>
    <w:p>
      <w:pPr>
        <w:pStyle w:val="ListParagraph"/>
        <w:numPr>
          <w:ilvl w:val="0"/>
          <w:numId w:val="2"/>
        </w:numPr>
        <w:spacing w:after="90" w:line="276"/>
      </w:pPr>
      <w:r>
        <w:rPr>
          <w:b/>
          <w:bCs/>
          <w:sz w:val="21"/>
          <w:szCs w:val="21"/>
        </w:rPr>
        <w:t xml:space="preserve">Generate: </w:t>
      </w:r>
      <w:r>
        <w:rPr>
          <w:sz w:val="21"/>
          <w:szCs w:val="21"/>
        </w:rPr>
        <w:t xml:space="preserve">structured Pydantic output against a hardened prompt; a crash returns a structured error, never a partial or fabricated brief.</w:t>
      </w:r>
    </w:p>
    <w:p>
      <w:pPr>
        <w:pStyle w:val="ListParagraph"/>
        <w:numPr>
          <w:ilvl w:val="0"/>
          <w:numId w:val="2"/>
        </w:numPr>
        <w:spacing w:after="90" w:line="276"/>
      </w:pPr>
      <w:r>
        <w:rPr>
          <w:b/>
          <w:bCs/>
          <w:sz w:val="21"/>
          <w:szCs w:val="21"/>
        </w:rPr>
        <w:t xml:space="preserve">Reflection agent (optional): </w:t>
      </w:r>
      <w:r>
        <w:rPr>
          <w:sz w:val="21"/>
          <w:szCs w:val="21"/>
        </w:rPr>
        <w:t xml:space="preserve">a bounded draft → critique → revise loop with an observable trace, held at runtime to the same faithfulness standard the eval measures offline.</w:t>
      </w:r>
    </w:p>
    <w:p>
      <w:r>
        <w:br w:type="page"/>
      </w:r>
    </w:p>
    <w:p>
      <w:pPr>
        <w:pStyle w:val="Heading1"/>
        <w:spacing w:after="140" w:before="320"/>
      </w:pPr>
      <w:r>
        <w:rPr>
          <w:b/>
          <w:bCs/>
          <w:color w:val="1F4E5F"/>
          <w:sz w:val="30"/>
          <w:szCs w:val="30"/>
        </w:rPr>
        <w:t xml:space="preserve">4. The core design bet: never fabricate</w:t>
      </w:r>
    </w:p>
    <w:p>
      <w:pPr>
        <w:spacing w:after="140" w:line="276"/>
      </w:pPr>
      <w:r>
        <w:rPr>
          <w:sz w:val="21"/>
          <w:szCs w:val="21"/>
        </w:rPr>
        <w:t xml:space="preserve">A sales-intelligence tool that occasionally invents a breach is not a weaker version of a good product — it is a </w:t>
      </w:r>
      <w:r>
        <w:rPr>
          <w:b/>
          <w:bCs/>
          <w:sz w:val="21"/>
          <w:szCs w:val="21"/>
        </w:rPr>
        <w:t xml:space="preserve">liability</w:t>
      </w:r>
      <w:r>
        <w:rPr>
          <w:sz w:val="21"/>
          <w:szCs w:val="21"/>
        </w:rPr>
        <w:t xml:space="preserve">. So the product's north-star metric is not brief quality in the abstract; it is the </w:t>
      </w:r>
      <w:r>
        <w:rPr>
          <w:b/>
          <w:bCs/>
          <w:sz w:val="21"/>
          <w:szCs w:val="21"/>
        </w:rPr>
        <w:t xml:space="preserve">no-hallucination rate</w:t>
      </w:r>
      <w:r>
        <w:rPr>
          <w:sz w:val="21"/>
          <w:szCs w:val="21"/>
        </w:rPr>
        <w:t xml:space="preserve">. Everything else — schema, prompt, retrieval filter, critic, judge — exists to hold that line.</w:t>
      </w:r>
    </w:p>
    <w:p>
      <w:pPr>
        <w:spacing w:after="140" w:line="276"/>
      </w:pPr>
      <w:r>
        <w:rPr>
          <w:sz w:val="21"/>
          <w:szCs w:val="21"/>
        </w:rPr>
        <w:t xml:space="preserve">The subtle design work was drawing one boundary precisely: </w:t>
      </w:r>
      <w:r>
        <w:rPr>
          <w:b/>
          <w:bCs/>
          <w:sz w:val="21"/>
          <w:szCs w:val="21"/>
        </w:rPr>
        <w:t xml:space="preserve">risk framing is allowed; asserting an event is not.</w:t>
      </w:r>
      <w:r>
        <w:rPr>
          <w:sz w:val="21"/>
          <w:szCs w:val="21"/>
        </w:rPr>
        <w:t xml:space="preserve"> Saying “a disclosed SQL-injection CVE puts customer data at risk” is faithful interpretation of a cited fact. Saying “customer data was breached” when only a vulnerability was disclosed is fabrication. Broadening what counts as a sellable trigger (from breach-only to nine trigger types) widened what risk framing is permitted — it never loosened the ban on inventing events. That single distinction is encoded identically in the generator prompt, the runtime critic, and the offline judge, so runtime and evaluation share one rule.</w:t>
      </w:r>
    </w:p>
    <w:p>
      <w:pPr>
        <w:pStyle w:val="Heading1"/>
        <w:spacing w:after="140" w:before="320"/>
      </w:pPr>
      <w:r>
        <w:rPr>
          <w:b/>
          <w:bCs/>
          <w:color w:val="1F4E5F"/>
          <w:sz w:val="30"/>
          <w:szCs w:val="30"/>
        </w:rPr>
        <w:t xml:space="preserve">5. Evaluation — quality in numbers</w:t>
      </w:r>
    </w:p>
    <w:p>
      <w:pPr>
        <w:spacing w:after="140" w:line="276"/>
      </w:pPr>
      <w:r>
        <w:rPr>
          <w:sz w:val="21"/>
          <w:szCs w:val="21"/>
        </w:rPr>
        <w:t xml:space="preserve">Quality is measured, not asserted. Two layers run over a hand-built golden dataset of fictional companies (so no real-world facts leak into the test):</w:t>
      </w:r>
    </w:p>
    <w:p>
      <w:pPr>
        <w:pStyle w:val="ListParagraph"/>
        <w:numPr>
          <w:ilvl w:val="0"/>
          <w:numId w:val="2"/>
        </w:numPr>
        <w:spacing w:after="90" w:line="276"/>
      </w:pPr>
      <w:r>
        <w:rPr>
          <w:b/>
          <w:bCs/>
          <w:sz w:val="21"/>
          <w:szCs w:val="21"/>
        </w:rPr>
        <w:t xml:space="preserve">Deterministic checks</w:t>
      </w:r>
      <w:r>
        <w:rPr>
          <w:sz w:val="21"/>
          <w:szCs w:val="21"/>
        </w:rPr>
        <w:t xml:space="preserve"> — free and never flaky: signal-vs-no-signal correctness, no forbidden fact echoed (another company's name or numbers), and no invented CVE id (regex-verified against the context).</w:t>
      </w:r>
    </w:p>
    <w:p>
      <w:pPr>
        <w:pStyle w:val="ListParagraph"/>
        <w:numPr>
          <w:ilvl w:val="0"/>
          <w:numId w:val="2"/>
        </w:numPr>
        <w:spacing w:after="90" w:line="276"/>
      </w:pPr>
      <w:r>
        <w:rPr>
          <w:b/>
          <w:bCs/>
          <w:sz w:val="21"/>
          <w:szCs w:val="21"/>
        </w:rPr>
        <w:t xml:space="preserve">LLM-as-judge</w:t>
      </w:r>
      <w:r>
        <w:rPr>
          <w:sz w:val="21"/>
          <w:szCs w:val="21"/>
        </w:rPr>
        <w:t xml:space="preserve"> — scores the soft qualities checks can't: faithfulness, relevance, actionability (1–5), plus a list of any unsupported claims. It is provider-selectable so </w:t>
      </w:r>
    </w:p>
    <w:p>
      <w:pPr>
        <w:spacing w:after="140" w:line="276"/>
      </w:pPr>
      <w:r>
        <w:rPr>
          <w:b/>
          <w:bCs/>
          <w:sz w:val="21"/>
          <w:szCs w:val="21"/>
        </w:rPr>
        <w:t xml:space="preserve">Claude grades OpenAI's output</w:t>
      </w:r>
      <w:r>
        <w:rPr>
          <w:sz w:val="21"/>
          <w:szCs w:val="21"/>
        </w:rPr>
        <w:t xml:space="preserve"> — a genuinely independent grader. That mattered: on a misattribution trap the same-family OpenAI judge scored a brief 5/5 while the Claude judge scored it 2/5, catching that the opener pitched a </w:t>
      </w:r>
      <w:r>
        <w:rPr>
          <w:i/>
          <w:iCs/>
          <w:sz w:val="21"/>
          <w:szCs w:val="21"/>
        </w:rPr>
        <w:t xml:space="preserve">different</w:t>
      </w:r>
      <w:r>
        <w:rPr>
          <w:sz w:val="21"/>
          <w:szCs w:val="21"/>
        </w:rPr>
        <w:t xml:space="preserve"> company's CVE as the prospect's. That single disagreement is the evidence that same-family grading is lenient — and it drove a concrete prompt fix.</w:t>
      </w:r>
    </w:p>
    <w:p>
      <w:pPr>
        <w:pStyle w:val="Heading2"/>
        <w:spacing w:after="100" w:before="220"/>
      </w:pPr>
      <w:r>
        <w:rPr>
          <w:b/>
          <w:bCs/>
          <w:color w:val="2E2E2E"/>
          <w:sz w:val="24"/>
          <w:szCs w:val="24"/>
        </w:rPr>
        <w:t xml:space="preserve">Current results (33-case golden set, independent judge)</w:t>
      </w:r>
    </w:p>
    <w:tbl>
      <w:tblPr>
        <w:tblW w:type="dxa" w:w="8640"/>
        <w:tblBorders>
          <w:top w:val="single" w:color="BFCdd3" w:sz="2"/>
          <w:left w:val="single" w:color="BFCDD3" w:sz="2"/>
          <w:bottom w:val="single" w:color="BFCDD3" w:sz="2"/>
          <w:right w:val="single" w:color="BFCDD3" w:sz="2"/>
          <w:insideH w:val="single" w:color="D8E2E6" w:sz="2"/>
          <w:insideV w:val="single" w:color="D8E2E6" w:sz="2"/>
        </w:tblBorders>
      </w:tblPr>
      <w:tblGrid>
        <w:gridCol w:w="2600"/>
        <w:gridCol w:w="1400"/>
        <w:gridCol w:w="4640"/>
      </w:tblGrid>
      <w:tr>
        <w:trPr>
          <w:tblHeader/>
        </w:trPr>
        <w:tc>
          <w:tcPr>
            <w:tcW w:type="dxa" w:w="2600"/>
            <w:shd w:fill="1F4E5F" w:val="clear"/>
            <w:tcMar>
              <w:top w:type="dxa" w:w="80"/>
              <w:left w:type="dxa" w:w="120"/>
              <w:bottom w:type="dxa" w:w="80"/>
              <w:right w:type="dxa" w:w="120"/>
            </w:tcMar>
          </w:tcPr>
          <w:p>
            <w:r>
              <w:rPr>
                <w:b/>
                <w:bCs/>
                <w:color w:val="FFFFFF"/>
                <w:sz w:val="20"/>
                <w:szCs w:val="20"/>
              </w:rPr>
              <w:t xml:space="preserve">Metric</w:t>
            </w:r>
          </w:p>
        </w:tc>
        <w:tc>
          <w:tcPr>
            <w:tcW w:type="dxa" w:w="1400"/>
            <w:shd w:fill="1F4E5F" w:val="clear"/>
            <w:tcMar>
              <w:top w:type="dxa" w:w="80"/>
              <w:left w:type="dxa" w:w="120"/>
              <w:bottom w:type="dxa" w:w="80"/>
              <w:right w:type="dxa" w:w="120"/>
            </w:tcMar>
          </w:tcPr>
          <w:p>
            <w:r>
              <w:rPr>
                <w:b/>
                <w:bCs/>
                <w:color w:val="FFFFFF"/>
                <w:sz w:val="20"/>
                <w:szCs w:val="20"/>
              </w:rPr>
              <w:t xml:space="preserve">Value</w:t>
            </w:r>
          </w:p>
        </w:tc>
        <w:tc>
          <w:tcPr>
            <w:tcW w:type="dxa" w:w="4640"/>
            <w:shd w:fill="1F4E5F" w:val="clear"/>
            <w:tcMar>
              <w:top w:type="dxa" w:w="80"/>
              <w:left w:type="dxa" w:w="120"/>
              <w:bottom w:type="dxa" w:w="80"/>
              <w:right w:type="dxa" w:w="120"/>
            </w:tcMar>
          </w:tcPr>
          <w:p>
            <w:r>
              <w:rPr>
                <w:b/>
                <w:bCs/>
                <w:color w:val="FFFFFF"/>
                <w:sz w:val="20"/>
                <w:szCs w:val="20"/>
              </w:rPr>
              <w:t xml:space="preserve">What it means</w:t>
            </w:r>
          </w:p>
        </w:tc>
      </w:tr>
      <w:tr>
        <w:tc>
          <w:tcPr>
            <w:tcW w:type="dxa" w:w="2600"/>
            <w:shd w:fill="FFFFFF" w:val="clear"/>
            <w:tcMar>
              <w:top w:type="dxa" w:w="80"/>
              <w:left w:type="dxa" w:w="120"/>
              <w:bottom w:type="dxa" w:w="80"/>
              <w:right w:type="dxa" w:w="120"/>
            </w:tcMar>
          </w:tcPr>
          <w:p>
            <w:r>
              <w:rPr>
                <w:b/>
                <w:bCs/>
                <w:color w:val="2E2E2E"/>
                <w:sz w:val="20"/>
                <w:szCs w:val="20"/>
              </w:rPr>
              <w:t xml:space="preserve">No-hallucination rate</w:t>
            </w:r>
          </w:p>
        </w:tc>
        <w:tc>
          <w:tcPr>
            <w:tcW w:type="dxa" w:w="1400"/>
            <w:shd w:fill="FFFFFF" w:val="clear"/>
            <w:tcMar>
              <w:top w:type="dxa" w:w="80"/>
              <w:left w:type="dxa" w:w="120"/>
              <w:bottom w:type="dxa" w:w="80"/>
              <w:right w:type="dxa" w:w="120"/>
            </w:tcMar>
          </w:tcPr>
          <w:p>
            <w:r>
              <w:rPr>
                <w:b w:val="false"/>
                <w:bCs w:val="false"/>
                <w:color w:val="2E2E2E"/>
                <w:sz w:val="20"/>
                <w:szCs w:val="20"/>
              </w:rPr>
              <w:t xml:space="preserve">1.0</w:t>
            </w:r>
          </w:p>
        </w:tc>
        <w:tc>
          <w:tcPr>
            <w:tcW w:type="dxa" w:w="4640"/>
            <w:shd w:fill="FFFFFF" w:val="clear"/>
            <w:tcMar>
              <w:top w:type="dxa" w:w="80"/>
              <w:left w:type="dxa" w:w="120"/>
              <w:bottom w:type="dxa" w:w="80"/>
              <w:right w:type="dxa" w:w="120"/>
            </w:tcMar>
          </w:tcPr>
          <w:p>
            <w:r>
              <w:rPr>
                <w:b w:val="false"/>
                <w:bCs w:val="false"/>
                <w:color w:val="2E2E2E"/>
                <w:sz w:val="20"/>
                <w:szCs w:val="20"/>
              </w:rPr>
              <w:t xml:space="preserve">No brief broke any fabrication guard.</w:t>
            </w:r>
          </w:p>
        </w:tc>
      </w:tr>
      <w:tr>
        <w:tc>
          <w:tcPr>
            <w:tcW w:type="dxa" w:w="2600"/>
            <w:shd w:fill="EAF1F4" w:val="clear"/>
            <w:tcMar>
              <w:top w:type="dxa" w:w="80"/>
              <w:left w:type="dxa" w:w="120"/>
              <w:bottom w:type="dxa" w:w="80"/>
              <w:right w:type="dxa" w:w="120"/>
            </w:tcMar>
          </w:tcPr>
          <w:p>
            <w:r>
              <w:rPr>
                <w:b/>
                <w:bCs/>
                <w:color w:val="2E2E2E"/>
                <w:sz w:val="20"/>
                <w:szCs w:val="20"/>
              </w:rPr>
              <w:t xml:space="preserve">has_signal accuracy</w:t>
            </w:r>
          </w:p>
        </w:tc>
        <w:tc>
          <w:tcPr>
            <w:tcW w:type="dxa" w:w="1400"/>
            <w:shd w:fill="EAF1F4" w:val="clear"/>
            <w:tcMar>
              <w:top w:type="dxa" w:w="80"/>
              <w:left w:type="dxa" w:w="120"/>
              <w:bottom w:type="dxa" w:w="80"/>
              <w:right w:type="dxa" w:w="120"/>
            </w:tcMar>
          </w:tcPr>
          <w:p>
            <w:r>
              <w:rPr>
                <w:b w:val="false"/>
                <w:bCs w:val="false"/>
                <w:color w:val="2E2E2E"/>
                <w:sz w:val="20"/>
                <w:szCs w:val="20"/>
              </w:rPr>
              <w:t xml:space="preserve">0.939</w:t>
            </w:r>
          </w:p>
        </w:tc>
        <w:tc>
          <w:tcPr>
            <w:tcW w:type="dxa" w:w="4640"/>
            <w:shd w:fill="EAF1F4" w:val="clear"/>
            <w:tcMar>
              <w:top w:type="dxa" w:w="80"/>
              <w:left w:type="dxa" w:w="120"/>
              <w:bottom w:type="dxa" w:w="80"/>
              <w:right w:type="dxa" w:w="120"/>
            </w:tcMar>
          </w:tcPr>
          <w:p>
            <w:r>
              <w:rPr>
                <w:b w:val="false"/>
                <w:bCs w:val="false"/>
                <w:color w:val="2E2E2E"/>
                <w:sz w:val="20"/>
                <w:szCs w:val="20"/>
              </w:rPr>
              <w:t xml:space="preserve">2 of 33 misses, both conservative under-detection (see below).</w:t>
            </w:r>
          </w:p>
        </w:tc>
      </w:tr>
      <w:tr>
        <w:tc>
          <w:tcPr>
            <w:tcW w:type="dxa" w:w="2600"/>
            <w:shd w:fill="FFFFFF" w:val="clear"/>
            <w:tcMar>
              <w:top w:type="dxa" w:w="80"/>
              <w:left w:type="dxa" w:w="120"/>
              <w:bottom w:type="dxa" w:w="80"/>
              <w:right w:type="dxa" w:w="120"/>
            </w:tcMar>
          </w:tcPr>
          <w:p>
            <w:r>
              <w:rPr>
                <w:b/>
                <w:bCs/>
                <w:color w:val="2E2E2E"/>
                <w:sz w:val="20"/>
                <w:szCs w:val="20"/>
              </w:rPr>
              <w:t xml:space="preserve">Judge faithfulness (mean)</w:t>
            </w:r>
          </w:p>
        </w:tc>
        <w:tc>
          <w:tcPr>
            <w:tcW w:type="dxa" w:w="1400"/>
            <w:shd w:fill="FFFFFF" w:val="clear"/>
            <w:tcMar>
              <w:top w:type="dxa" w:w="80"/>
              <w:left w:type="dxa" w:w="120"/>
              <w:bottom w:type="dxa" w:w="80"/>
              <w:right w:type="dxa" w:w="120"/>
            </w:tcMar>
          </w:tcPr>
          <w:p>
            <w:r>
              <w:rPr>
                <w:b w:val="false"/>
                <w:bCs w:val="false"/>
                <w:color w:val="2E2E2E"/>
                <w:sz w:val="20"/>
                <w:szCs w:val="20"/>
              </w:rPr>
              <w:t xml:space="preserve">4.94 / 5</w:t>
            </w:r>
          </w:p>
        </w:tc>
        <w:tc>
          <w:tcPr>
            <w:tcW w:type="dxa" w:w="4640"/>
            <w:shd w:fill="FFFFFF" w:val="clear"/>
            <w:tcMar>
              <w:top w:type="dxa" w:w="80"/>
              <w:left w:type="dxa" w:w="120"/>
              <w:bottom w:type="dxa" w:w="80"/>
              <w:right w:type="dxa" w:w="120"/>
            </w:tcMar>
          </w:tcPr>
          <w:p>
            <w:r>
              <w:rPr>
                <w:b w:val="false"/>
                <w:bCs w:val="false"/>
                <w:color w:val="2E2E2E"/>
                <w:sz w:val="20"/>
                <w:szCs w:val="20"/>
              </w:rPr>
              <w:t xml:space="preserve">Claims stay tied to cited context.</w:t>
            </w:r>
          </w:p>
        </w:tc>
      </w:tr>
      <w:tr>
        <w:tc>
          <w:tcPr>
            <w:tcW w:type="dxa" w:w="2600"/>
            <w:shd w:fill="EAF1F4" w:val="clear"/>
            <w:tcMar>
              <w:top w:type="dxa" w:w="80"/>
              <w:left w:type="dxa" w:w="120"/>
              <w:bottom w:type="dxa" w:w="80"/>
              <w:right w:type="dxa" w:w="120"/>
            </w:tcMar>
          </w:tcPr>
          <w:p>
            <w:r>
              <w:rPr>
                <w:b/>
                <w:bCs/>
                <w:color w:val="2E2E2E"/>
                <w:sz w:val="20"/>
                <w:szCs w:val="20"/>
              </w:rPr>
              <w:t xml:space="preserve">Cost / brief</w:t>
            </w:r>
          </w:p>
        </w:tc>
        <w:tc>
          <w:tcPr>
            <w:tcW w:type="dxa" w:w="1400"/>
            <w:shd w:fill="EAF1F4" w:val="clear"/>
            <w:tcMar>
              <w:top w:type="dxa" w:w="80"/>
              <w:left w:type="dxa" w:w="120"/>
              <w:bottom w:type="dxa" w:w="80"/>
              <w:right w:type="dxa" w:w="120"/>
            </w:tcMar>
          </w:tcPr>
          <w:p>
            <w:r>
              <w:rPr>
                <w:b w:val="false"/>
                <w:bCs w:val="false"/>
                <w:color w:val="2E2E2E"/>
                <w:sz w:val="20"/>
                <w:szCs w:val="20"/>
              </w:rPr>
              <w:t xml:space="preserve">~$0.0002</w:t>
            </w:r>
          </w:p>
        </w:tc>
        <w:tc>
          <w:tcPr>
            <w:tcW w:type="dxa" w:w="4640"/>
            <w:shd w:fill="EAF1F4" w:val="clear"/>
            <w:tcMar>
              <w:top w:type="dxa" w:w="80"/>
              <w:left w:type="dxa" w:w="120"/>
              <w:bottom w:type="dxa" w:w="80"/>
              <w:right w:type="dxa" w:w="120"/>
            </w:tcMar>
          </w:tcPr>
          <w:p>
            <w:r>
              <w:rPr>
                <w:b w:val="false"/>
                <w:bCs w:val="false"/>
                <w:color w:val="2E2E2E"/>
                <w:sz w:val="20"/>
                <w:szCs w:val="20"/>
              </w:rPr>
              <w:t xml:space="preserve">Cheap enough to re-run a watchlist continuously.</w:t>
            </w:r>
          </w:p>
        </w:tc>
      </w:tr>
    </w:tbl>
    <w:p>
      <w:pPr>
        <w:spacing w:after="140" w:line="276"/>
      </w:pPr>
      <w:r>
        <w:rPr>
          <w:b/>
          <w:bCs/>
          <w:sz w:val="21"/>
          <w:szCs w:val="21"/>
        </w:rPr>
        <w:t xml:space="preserve">Honest read of the 0.939: </w:t>
      </w:r>
      <w:r>
        <w:rPr>
          <w:sz w:val="21"/>
          <w:szCs w:val="21"/>
        </w:rPr>
        <w:t xml:space="preserve">both misses are the </w:t>
      </w:r>
      <w:r>
        <w:rPr>
          <w:i/>
          <w:iCs/>
          <w:sz w:val="21"/>
          <w:szCs w:val="21"/>
        </w:rPr>
        <w:t xml:space="preserve">softest</w:t>
      </w:r>
      <w:r>
        <w:rPr>
          <w:sz w:val="21"/>
          <w:szCs w:val="21"/>
        </w:rPr>
        <w:t xml:space="preserve"> triggers — a new office + hiring (growth) and a Series B raise (fundraising), each with zero security context. The model called these “no signal,” erring conservative: it under-detects a soft business trigger rather than inventing a security one, so the no-hallucination rate stays 1.0. That trade — recall on the softest triggers versus never over-firing on routine funding news — is a deliberate characteristic. (A targeted prompt change to lift recall on a prospect's </w:t>
      </w:r>
      <w:r>
        <w:rPr>
          <w:i/>
          <w:iCs/>
          <w:sz w:val="21"/>
          <w:szCs w:val="21"/>
        </w:rPr>
        <w:t xml:space="preserve">own</w:t>
      </w:r>
      <w:r>
        <w:rPr>
          <w:sz w:val="21"/>
          <w:szCs w:val="21"/>
        </w:rPr>
        <w:t xml:space="preserve"> named funding/growth event, without touching the misattribution guard, is staged for the next eval run.)</w:t>
      </w:r>
    </w:p>
    <w:p>
      <w:pPr>
        <w:pStyle w:val="Heading1"/>
        <w:spacing w:after="140" w:before="320"/>
      </w:pPr>
      <w:r>
        <w:rPr>
          <w:b/>
          <w:bCs/>
          <w:color w:val="1F4E5F"/>
          <w:sz w:val="30"/>
          <w:szCs w:val="30"/>
        </w:rPr>
        <w:t xml:space="preserve">6. Decisions that were made on evidence, not vibes</w:t>
      </w:r>
    </w:p>
    <w:p>
      <w:pPr>
        <w:pStyle w:val="Heading2"/>
        <w:spacing w:after="100" w:before="220"/>
      </w:pPr>
      <w:r>
        <w:rPr>
          <w:b/>
          <w:bCs/>
          <w:color w:val="2E2E2E"/>
          <w:sz w:val="24"/>
          <w:szCs w:val="24"/>
        </w:rPr>
        <w:t xml:space="preserve">Model choice: gpt-4o-mini over gpt-4o</w:t>
      </w:r>
    </w:p>
    <w:p>
      <w:pPr>
        <w:spacing w:after="140" w:line="276"/>
      </w:pPr>
      <w:r>
        <w:rPr>
          <w:sz w:val="21"/>
          <w:szCs w:val="21"/>
        </w:rPr>
        <w:t xml:space="preserve">Running the golden set through both models with a fixed judge and three passes each, mini matched gpt-4o on the hard guardrails (no-hallucination 1.0, signal accuracy 1.0), was at least as faithful and </w:t>
      </w:r>
      <w:r>
        <w:rPr>
          <w:i/>
          <w:iCs/>
          <w:sz w:val="21"/>
          <w:szCs w:val="21"/>
        </w:rPr>
        <w:t xml:space="preserve">more stable across passes</w:t>
      </w:r>
      <w:r>
        <w:rPr>
          <w:sz w:val="21"/>
          <w:szCs w:val="21"/>
        </w:rPr>
        <w:t xml:space="preserve"> (4.9 ± 0.0 vs 4.67 ± 0.31), and cost ~17× less. The multi-pass design mattered: a single pass had gpt-4o scoring anywhere from 4.4 to 5.0, so the decision rests on a range, not one lucky draw. There was no faithfulness justification for paying 17× more.</w:t>
      </w:r>
    </w:p>
    <w:p>
      <w:pPr>
        <w:pStyle w:val="Heading2"/>
        <w:spacing w:after="100" w:before="220"/>
      </w:pPr>
      <w:r>
        <w:rPr>
          <w:b/>
          <w:bCs/>
          <w:color w:val="2E2E2E"/>
          <w:sz w:val="24"/>
          <w:szCs w:val="24"/>
        </w:rPr>
        <w:t xml:space="preserve">Reflection agent: shipped, then honestly benched</w:t>
      </w:r>
    </w:p>
    <w:p>
      <w:pPr>
        <w:spacing w:after="140" w:line="276"/>
      </w:pPr>
      <w:r>
        <w:rPr>
          <w:sz w:val="21"/>
          <w:szCs w:val="21"/>
        </w:rPr>
        <w:t xml:space="preserve">The self-critique loop did </w:t>
      </w:r>
      <w:r>
        <w:rPr>
          <w:b/>
          <w:bCs/>
          <w:sz w:val="21"/>
          <w:szCs w:val="21"/>
        </w:rPr>
        <w:t xml:space="preserve">not</w:t>
      </w:r>
      <w:r>
        <w:rPr>
          <w:sz w:val="21"/>
          <w:szCs w:val="21"/>
        </w:rPr>
        <w:t xml:space="preserve"> beat a tuned prompt in-distribution — after prompt hardening there were zero hallucinations left to fix. Worse, on an adversarial slice a low-precision critic </w:t>
      </w:r>
      <w:r>
        <w:rPr>
          <w:b/>
          <w:bCs/>
          <w:sz w:val="21"/>
          <w:szCs w:val="21"/>
        </w:rPr>
        <w:t xml:space="preserve">erased a real, buried signal</w:t>
      </w:r>
      <w:r>
        <w:rPr>
          <w:sz w:val="21"/>
          <w:szCs w:val="21"/>
        </w:rPr>
        <w:t xml:space="preserve"> by flagging a true in-context claim as unsupported. The fix was a critic precision rule (confirm a fact is genuinely absent before flagging; a prospect's own in-context event stays supported even when other companies are named). The lesson — a reflection loop is only as good as its critic's precision — is why the agent is an available mode, not the default. Reporting a feature as “didn't earn its cost here” is itself a PM decision.</w:t>
      </w:r>
    </w:p>
    <w:p>
      <w:pPr>
        <w:pStyle w:val="Heading2"/>
        <w:spacing w:after="100" w:before="220"/>
      </w:pPr>
      <w:r>
        <w:rPr>
          <w:b/>
          <w:bCs/>
          <w:color w:val="2E2E2E"/>
          <w:sz w:val="24"/>
          <w:szCs w:val="24"/>
        </w:rPr>
        <w:t xml:space="preserve">Test bug vs. model failure</w:t>
      </w:r>
    </w:p>
    <w:p>
      <w:pPr>
        <w:spacing w:after="140" w:line="276"/>
      </w:pPr>
      <w:r>
        <w:rPr>
          <w:sz w:val="21"/>
          <w:szCs w:val="21"/>
        </w:rPr>
        <w:t xml:space="preserve">When the golden set threw failures, they were triaged by root cause, not patched away. Some were over-strict tests punishing correct output (a no-signal brief is allowed to use the generic word “breach” in a discovery question) — those instruments were corrected. Genuine risks (surfacing an unrelated company's CVE) kept their strict guard. Relaxing a check to hide a real failure is gaming the metric; relaxing one that measures the wrong thing is fixing the instrument — and the difference is documented on purpose.</w:t>
      </w:r>
    </w:p>
    <w:p>
      <w:r>
        <w:br w:type="page"/>
      </w:r>
    </w:p>
    <w:p>
      <w:pPr>
        <w:pStyle w:val="Heading1"/>
        <w:spacing w:after="140" w:before="320"/>
      </w:pPr>
      <w:r>
        <w:rPr>
          <w:b/>
          <w:bCs/>
          <w:color w:val="1F4E5F"/>
          <w:sz w:val="30"/>
          <w:szCs w:val="30"/>
        </w:rPr>
        <w:t xml:space="preserve">7. Failure modes &amp; the safety contract</w:t>
      </w:r>
    </w:p>
    <w:p>
      <w:pPr>
        <w:spacing w:after="140" w:line="276"/>
      </w:pPr>
      <w:r>
        <w:rPr>
          <w:sz w:val="21"/>
          <w:szCs w:val="21"/>
        </w:rPr>
        <w:t xml:space="preserve">Each known failure has a detection mechanism and a defined response. This table is the contract:</w:t>
      </w:r>
    </w:p>
    <w:tbl>
      <w:tblPr>
        <w:tblW w:type="dxa" w:w="8640"/>
        <w:tblBorders>
          <w:top w:val="single" w:color="BFCdd3" w:sz="2"/>
          <w:left w:val="single" w:color="BFCDD3" w:sz="2"/>
          <w:bottom w:val="single" w:color="BFCDD3" w:sz="2"/>
          <w:right w:val="single" w:color="BFCDD3" w:sz="2"/>
          <w:insideH w:val="single" w:color="D8E2E6" w:sz="2"/>
          <w:insideV w:val="single" w:color="D8E2E6" w:sz="2"/>
        </w:tblBorders>
      </w:tblPr>
      <w:tblGrid>
        <w:gridCol w:w="2900"/>
        <w:gridCol w:w="3100"/>
        <w:gridCol w:w="2640"/>
      </w:tblGrid>
      <w:tr>
        <w:trPr>
          <w:tblHeader/>
        </w:trPr>
        <w:tc>
          <w:tcPr>
            <w:tcW w:type="dxa" w:w="2900"/>
            <w:shd w:fill="1F4E5F" w:val="clear"/>
            <w:tcMar>
              <w:top w:type="dxa" w:w="80"/>
              <w:left w:type="dxa" w:w="120"/>
              <w:bottom w:type="dxa" w:w="80"/>
              <w:right w:type="dxa" w:w="120"/>
            </w:tcMar>
          </w:tcPr>
          <w:p>
            <w:r>
              <w:rPr>
                <w:b/>
                <w:bCs/>
                <w:color w:val="FFFFFF"/>
                <w:sz w:val="20"/>
                <w:szCs w:val="20"/>
              </w:rPr>
              <w:t xml:space="preserve">Failure mode</w:t>
            </w:r>
          </w:p>
        </w:tc>
        <w:tc>
          <w:tcPr>
            <w:tcW w:type="dxa" w:w="3100"/>
            <w:shd w:fill="1F4E5F" w:val="clear"/>
            <w:tcMar>
              <w:top w:type="dxa" w:w="80"/>
              <w:left w:type="dxa" w:w="120"/>
              <w:bottom w:type="dxa" w:w="80"/>
              <w:right w:type="dxa" w:w="120"/>
            </w:tcMar>
          </w:tcPr>
          <w:p>
            <w:r>
              <w:rPr>
                <w:b/>
                <w:bCs/>
                <w:color w:val="FFFFFF"/>
                <w:sz w:val="20"/>
                <w:szCs w:val="20"/>
              </w:rPr>
              <w:t xml:space="preserve">Detection</w:t>
            </w:r>
          </w:p>
        </w:tc>
        <w:tc>
          <w:tcPr>
            <w:tcW w:type="dxa" w:w="2640"/>
            <w:shd w:fill="1F4E5F" w:val="clear"/>
            <w:tcMar>
              <w:top w:type="dxa" w:w="80"/>
              <w:left w:type="dxa" w:w="120"/>
              <w:bottom w:type="dxa" w:w="80"/>
              <w:right w:type="dxa" w:w="120"/>
            </w:tcMar>
          </w:tcPr>
          <w:p>
            <w:r>
              <w:rPr>
                <w:b/>
                <w:bCs/>
                <w:color w:val="FFFFFF"/>
                <w:sz w:val="20"/>
                <w:szCs w:val="20"/>
              </w:rPr>
              <w:t xml:space="preserve">Response</w:t>
            </w:r>
          </w:p>
        </w:tc>
      </w:tr>
      <w:tr>
        <w:tc>
          <w:tcPr>
            <w:tcW w:type="dxa" w:w="2900"/>
            <w:shd w:fill="FFFFFF" w:val="clear"/>
            <w:tcMar>
              <w:top w:type="dxa" w:w="80"/>
              <w:left w:type="dxa" w:w="120"/>
              <w:bottom w:type="dxa" w:w="80"/>
              <w:right w:type="dxa" w:w="120"/>
            </w:tcMar>
          </w:tcPr>
          <w:p>
            <w:r>
              <w:rPr>
                <w:b/>
                <w:bCs/>
                <w:color w:val="2E2E2E"/>
                <w:sz w:val="20"/>
                <w:szCs w:val="20"/>
              </w:rPr>
              <w:t xml:space="preserve">Fabricated CVE id</w:t>
            </w:r>
          </w:p>
        </w:tc>
        <w:tc>
          <w:tcPr>
            <w:tcW w:type="dxa" w:w="3100"/>
            <w:shd w:fill="FFFFFF" w:val="clear"/>
            <w:tcMar>
              <w:top w:type="dxa" w:w="80"/>
              <w:left w:type="dxa" w:w="120"/>
              <w:bottom w:type="dxa" w:w="80"/>
              <w:right w:type="dxa" w:w="120"/>
            </w:tcMar>
          </w:tcPr>
          <w:p>
            <w:r>
              <w:rPr>
                <w:b w:val="false"/>
                <w:bCs w:val="false"/>
                <w:color w:val="2E2E2E"/>
                <w:sz w:val="20"/>
                <w:szCs w:val="20"/>
              </w:rPr>
              <w:t xml:space="preserve">Deterministic regex (any CVE- not in context)</w:t>
            </w:r>
          </w:p>
        </w:tc>
        <w:tc>
          <w:tcPr>
            <w:tcW w:type="dxa" w:w="2640"/>
            <w:shd w:fill="FFFFFF" w:val="clear"/>
            <w:tcMar>
              <w:top w:type="dxa" w:w="80"/>
              <w:left w:type="dxa" w:w="120"/>
              <w:bottom w:type="dxa" w:w="80"/>
              <w:right w:type="dxa" w:w="120"/>
            </w:tcMar>
          </w:tcPr>
          <w:p>
            <w:r>
              <w:rPr>
                <w:b w:val="false"/>
                <w:bCs w:val="false"/>
                <w:color w:val="2E2E2E"/>
                <w:sz w:val="20"/>
                <w:szCs w:val="20"/>
              </w:rPr>
              <w:t xml:space="preserve">Hard fail; critic forces a revise at runtime</w:t>
            </w:r>
          </w:p>
        </w:tc>
      </w:tr>
      <w:tr>
        <w:tc>
          <w:tcPr>
            <w:tcW w:type="dxa" w:w="2900"/>
            <w:shd w:fill="EAF1F4" w:val="clear"/>
            <w:tcMar>
              <w:top w:type="dxa" w:w="80"/>
              <w:left w:type="dxa" w:w="120"/>
              <w:bottom w:type="dxa" w:w="80"/>
              <w:right w:type="dxa" w:w="120"/>
            </w:tcMar>
          </w:tcPr>
          <w:p>
            <w:r>
              <w:rPr>
                <w:b/>
                <w:bCs/>
                <w:color w:val="2E2E2E"/>
                <w:sz w:val="20"/>
                <w:szCs w:val="20"/>
              </w:rPr>
              <w:t xml:space="preserve">Misattribution (another firm's event pitched as the prospect's)</w:t>
            </w:r>
          </w:p>
        </w:tc>
        <w:tc>
          <w:tcPr>
            <w:tcW w:type="dxa" w:w="3100"/>
            <w:shd w:fill="EAF1F4" w:val="clear"/>
            <w:tcMar>
              <w:top w:type="dxa" w:w="80"/>
              <w:left w:type="dxa" w:w="120"/>
              <w:bottom w:type="dxa" w:w="80"/>
              <w:right w:type="dxa" w:w="120"/>
            </w:tcMar>
          </w:tcPr>
          <w:p>
            <w:r>
              <w:rPr>
                <w:b w:val="false"/>
                <w:bCs w:val="false"/>
                <w:color w:val="2E2E2E"/>
                <w:sz w:val="20"/>
                <w:szCs w:val="20"/>
              </w:rPr>
              <w:t xml:space="preserve">Prompt rule + independent judge + critic</w:t>
            </w:r>
          </w:p>
        </w:tc>
        <w:tc>
          <w:tcPr>
            <w:tcW w:type="dxa" w:w="2640"/>
            <w:shd w:fill="EAF1F4" w:val="clear"/>
            <w:tcMar>
              <w:top w:type="dxa" w:w="80"/>
              <w:left w:type="dxa" w:w="120"/>
              <w:bottom w:type="dxa" w:w="80"/>
              <w:right w:type="dxa" w:w="120"/>
            </w:tcMar>
          </w:tcPr>
          <w:p>
            <w:r>
              <w:rPr>
                <w:b w:val="false"/>
                <w:bCs w:val="false"/>
                <w:color w:val="2E2E2E"/>
                <w:sz w:val="20"/>
                <w:szCs w:val="20"/>
              </w:rPr>
              <w:t xml:space="preserve">Excluded from opener/key points; never reframed as third-party risk</w:t>
            </w:r>
          </w:p>
        </w:tc>
      </w:tr>
      <w:tr>
        <w:tc>
          <w:tcPr>
            <w:tcW w:type="dxa" w:w="2900"/>
            <w:shd w:fill="FFFFFF" w:val="clear"/>
            <w:tcMar>
              <w:top w:type="dxa" w:w="80"/>
              <w:left w:type="dxa" w:w="120"/>
              <w:bottom w:type="dxa" w:w="80"/>
              <w:right w:type="dxa" w:w="120"/>
            </w:tcMar>
          </w:tcPr>
          <w:p>
            <w:r>
              <w:rPr>
                <w:b/>
                <w:bCs/>
                <w:color w:val="2E2E2E"/>
                <w:sz w:val="20"/>
                <w:szCs w:val="20"/>
              </w:rPr>
              <w:t xml:space="preserve">No-signal speculation</w:t>
            </w:r>
          </w:p>
        </w:tc>
        <w:tc>
          <w:tcPr>
            <w:tcW w:type="dxa" w:w="3100"/>
            <w:shd w:fill="FFFFFF" w:val="clear"/>
            <w:tcMar>
              <w:top w:type="dxa" w:w="80"/>
              <w:left w:type="dxa" w:w="120"/>
              <w:bottom w:type="dxa" w:w="80"/>
              <w:right w:type="dxa" w:w="120"/>
            </w:tcMar>
          </w:tcPr>
          <w:p>
            <w:r>
              <w:rPr>
                <w:b w:val="false"/>
                <w:bCs w:val="false"/>
                <w:color w:val="2E2E2E"/>
                <w:sz w:val="20"/>
                <w:szCs w:val="20"/>
              </w:rPr>
              <w:t xml:space="preserve">Judge faithfulness drop on no-signal cases</w:t>
            </w:r>
          </w:p>
        </w:tc>
        <w:tc>
          <w:tcPr>
            <w:tcW w:type="dxa" w:w="2640"/>
            <w:shd w:fill="FFFFFF" w:val="clear"/>
            <w:tcMar>
              <w:top w:type="dxa" w:w="80"/>
              <w:left w:type="dxa" w:w="120"/>
              <w:bottom w:type="dxa" w:w="80"/>
              <w:right w:type="dxa" w:w="120"/>
            </w:tcMar>
          </w:tcPr>
          <w:p>
            <w:r>
              <w:rPr>
                <w:b w:val="false"/>
                <w:bCs w:val="false"/>
                <w:color w:val="2E2E2E"/>
                <w:sz w:val="20"/>
                <w:szCs w:val="20"/>
              </w:rPr>
              <w:t xml:space="preserve">Prompt forbids inference from unrelated facts; fall back to generic discovery</w:t>
            </w:r>
          </w:p>
        </w:tc>
      </w:tr>
      <w:tr>
        <w:tc>
          <w:tcPr>
            <w:tcW w:type="dxa" w:w="2900"/>
            <w:shd w:fill="EAF1F4" w:val="clear"/>
            <w:tcMar>
              <w:top w:type="dxa" w:w="80"/>
              <w:left w:type="dxa" w:w="120"/>
              <w:bottom w:type="dxa" w:w="80"/>
              <w:right w:type="dxa" w:w="120"/>
            </w:tcMar>
          </w:tcPr>
          <w:p>
            <w:r>
              <w:rPr>
                <w:b/>
                <w:bCs/>
                <w:color w:val="2E2E2E"/>
                <w:sz w:val="20"/>
                <w:szCs w:val="20"/>
              </w:rPr>
              <w:t xml:space="preserve">Posture-as-signal (a cert or funding read as a weakness)</w:t>
            </w:r>
          </w:p>
        </w:tc>
        <w:tc>
          <w:tcPr>
            <w:tcW w:type="dxa" w:w="3100"/>
            <w:shd w:fill="EAF1F4" w:val="clear"/>
            <w:tcMar>
              <w:top w:type="dxa" w:w="80"/>
              <w:left w:type="dxa" w:w="120"/>
              <w:bottom w:type="dxa" w:w="80"/>
              <w:right w:type="dxa" w:w="120"/>
            </w:tcMar>
          </w:tcPr>
          <w:p>
            <w:r>
              <w:rPr>
                <w:b w:val="false"/>
                <w:bCs w:val="false"/>
                <w:color w:val="2E2E2E"/>
                <w:sz w:val="20"/>
                <w:szCs w:val="20"/>
              </w:rPr>
              <w:t xml:space="preserve">has_signal mismatch vs golden label</w:t>
            </w:r>
          </w:p>
        </w:tc>
        <w:tc>
          <w:tcPr>
            <w:tcW w:type="dxa" w:w="2640"/>
            <w:shd w:fill="EAF1F4" w:val="clear"/>
            <w:tcMar>
              <w:top w:type="dxa" w:w="80"/>
              <w:left w:type="dxa" w:w="120"/>
              <w:bottom w:type="dxa" w:w="80"/>
              <w:right w:type="dxa" w:w="120"/>
            </w:tcMar>
          </w:tcPr>
          <w:p>
            <w:r>
              <w:rPr>
                <w:b w:val="false"/>
                <w:bCs w:val="false"/>
                <w:color w:val="2E2E2E"/>
                <w:sz w:val="20"/>
                <w:szCs w:val="20"/>
              </w:rPr>
              <w:t xml:space="preserve">“Signal” scoped to weaknesses/triggers; posture is explicitly not one</w:t>
            </w:r>
          </w:p>
        </w:tc>
      </w:tr>
      <w:tr>
        <w:tc>
          <w:tcPr>
            <w:tcW w:type="dxa" w:w="2900"/>
            <w:shd w:fill="FFFFFF" w:val="clear"/>
            <w:tcMar>
              <w:top w:type="dxa" w:w="80"/>
              <w:left w:type="dxa" w:w="120"/>
              <w:bottom w:type="dxa" w:w="80"/>
              <w:right w:type="dxa" w:w="120"/>
            </w:tcMar>
          </w:tcPr>
          <w:p>
            <w:r>
              <w:rPr>
                <w:b/>
                <w:bCs/>
                <w:color w:val="2E2E2E"/>
                <w:sz w:val="20"/>
                <w:szCs w:val="20"/>
              </w:rPr>
              <w:t xml:space="preserve">Critic false-positive (erasing real signal)</w:t>
            </w:r>
          </w:p>
        </w:tc>
        <w:tc>
          <w:tcPr>
            <w:tcW w:type="dxa" w:w="3100"/>
            <w:shd w:fill="FFFFFF" w:val="clear"/>
            <w:tcMar>
              <w:top w:type="dxa" w:w="80"/>
              <w:left w:type="dxa" w:w="120"/>
              <w:bottom w:type="dxa" w:w="80"/>
              <w:right w:type="dxa" w:w="120"/>
            </w:tcMar>
          </w:tcPr>
          <w:p>
            <w:r>
              <w:rPr>
                <w:b w:val="false"/>
                <w:bCs w:val="false"/>
                <w:color w:val="2E2E2E"/>
                <w:sz w:val="20"/>
                <w:szCs w:val="20"/>
              </w:rPr>
              <w:t xml:space="preserve">Adversarial slice has_signal regressions</w:t>
            </w:r>
          </w:p>
        </w:tc>
        <w:tc>
          <w:tcPr>
            <w:tcW w:type="dxa" w:w="2640"/>
            <w:shd w:fill="FFFFFF" w:val="clear"/>
            <w:tcMar>
              <w:top w:type="dxa" w:w="80"/>
              <w:left w:type="dxa" w:w="120"/>
              <w:bottom w:type="dxa" w:w="80"/>
              <w:right w:type="dxa" w:w="120"/>
            </w:tcMar>
          </w:tcPr>
          <w:p>
            <w:r>
              <w:rPr>
                <w:b w:val="false"/>
                <w:bCs w:val="false"/>
                <w:color w:val="2E2E2E"/>
                <w:sz w:val="20"/>
                <w:szCs w:val="20"/>
              </w:rPr>
              <w:t xml:space="preserve">Precision rule: verify absence before flagging</w:t>
            </w:r>
          </w:p>
        </w:tc>
      </w:tr>
      <w:tr>
        <w:tc>
          <w:tcPr>
            <w:tcW w:type="dxa" w:w="2900"/>
            <w:shd w:fill="EAF1F4" w:val="clear"/>
            <w:tcMar>
              <w:top w:type="dxa" w:w="80"/>
              <w:left w:type="dxa" w:w="120"/>
              <w:bottom w:type="dxa" w:w="80"/>
              <w:right w:type="dxa" w:w="120"/>
            </w:tcMar>
          </w:tcPr>
          <w:p>
            <w:r>
              <w:rPr>
                <w:b/>
                <w:bCs/>
                <w:color w:val="2E2E2E"/>
                <w:sz w:val="20"/>
                <w:szCs w:val="20"/>
              </w:rPr>
              <w:t xml:space="preserve">Generation/parse crash</w:t>
            </w:r>
          </w:p>
        </w:tc>
        <w:tc>
          <w:tcPr>
            <w:tcW w:type="dxa" w:w="3100"/>
            <w:shd w:fill="EAF1F4" w:val="clear"/>
            <w:tcMar>
              <w:top w:type="dxa" w:w="80"/>
              <w:left w:type="dxa" w:w="120"/>
              <w:bottom w:type="dxa" w:w="80"/>
              <w:right w:type="dxa" w:w="120"/>
            </w:tcMar>
          </w:tcPr>
          <w:p>
            <w:r>
              <w:rPr>
                <w:b w:val="false"/>
                <w:bCs w:val="false"/>
                <w:color w:val="2E2E2E"/>
                <w:sz w:val="20"/>
                <w:szCs w:val="20"/>
              </w:rPr>
              <w:t xml:space="preserve">safe_generate / agent error path</w:t>
            </w:r>
          </w:p>
        </w:tc>
        <w:tc>
          <w:tcPr>
            <w:tcW w:type="dxa" w:w="2640"/>
            <w:shd w:fill="EAF1F4" w:val="clear"/>
            <w:tcMar>
              <w:top w:type="dxa" w:w="80"/>
              <w:left w:type="dxa" w:w="120"/>
              <w:bottom w:type="dxa" w:w="80"/>
              <w:right w:type="dxa" w:w="120"/>
            </w:tcMar>
          </w:tcPr>
          <w:p>
            <w:r>
              <w:rPr>
                <w:b w:val="false"/>
                <w:bCs w:val="false"/>
                <w:color w:val="2E2E2E"/>
                <w:sz w:val="20"/>
                <w:szCs w:val="20"/>
              </w:rPr>
              <w:t xml:space="preserve">Structured error, never a fabricated brief</w:t>
            </w:r>
          </w:p>
        </w:tc>
      </w:tr>
    </w:tbl>
    <w:p>
      <w:pPr>
        <w:pStyle w:val="Heading1"/>
        <w:spacing w:after="140" w:before="320"/>
      </w:pPr>
      <w:r>
        <w:rPr>
          <w:b/>
          <w:bCs/>
          <w:color w:val="1F4E5F"/>
          <w:sz w:val="30"/>
          <w:szCs w:val="30"/>
        </w:rPr>
        <w:t xml:space="preserve">8. What's next</w:t>
      </w:r>
    </w:p>
    <w:p>
      <w:pPr>
        <w:pStyle w:val="ListParagraph"/>
        <w:numPr>
          <w:ilvl w:val="0"/>
          <w:numId w:val="2"/>
        </w:numPr>
        <w:spacing w:after="90" w:line="276"/>
      </w:pPr>
      <w:r>
        <w:rPr>
          <w:b/>
          <w:bCs/>
          <w:sz w:val="21"/>
          <w:szCs w:val="21"/>
        </w:rPr>
        <w:t xml:space="preserve">Lift soft-trigger recall</w:t>
      </w:r>
      <w:r>
        <w:rPr>
          <w:sz w:val="21"/>
          <w:szCs w:val="21"/>
        </w:rPr>
        <w:t xml:space="preserve"> — confirm the prompt change closes the two conservative misses without over-firing, on a fresh eval run.</w:t>
      </w:r>
    </w:p>
    <w:p>
      <w:pPr>
        <w:pStyle w:val="ListParagraph"/>
        <w:numPr>
          <w:ilvl w:val="0"/>
          <w:numId w:val="2"/>
        </w:numPr>
        <w:spacing w:after="90" w:line="276"/>
      </w:pPr>
      <w:r>
        <w:rPr>
          <w:b/>
          <w:bCs/>
          <w:sz w:val="21"/>
          <w:szCs w:val="21"/>
        </w:rPr>
        <w:t xml:space="preserve">Durable hosted watchlist</w:t>
      </w:r>
      <w:r>
        <w:rPr>
          <w:sz w:val="21"/>
          <w:szCs w:val="21"/>
        </w:rPr>
        <w:t xml:space="preserve"> — point the store at a hosted Postgres so the demo's watchlist persists across restarts (a config change; the store already supports it).</w:t>
      </w:r>
    </w:p>
    <w:p>
      <w:pPr>
        <w:pStyle w:val="ListParagraph"/>
        <w:numPr>
          <w:ilvl w:val="0"/>
          <w:numId w:val="2"/>
        </w:numPr>
        <w:spacing w:after="90" w:line="276"/>
      </w:pPr>
      <w:r>
        <w:rPr>
          <w:b/>
          <w:bCs/>
          <w:sz w:val="21"/>
          <w:szCs w:val="21"/>
        </w:rPr>
        <w:t xml:space="preserve">Layer more sources</w:t>
      </w:r>
      <w:r>
        <w:rPr>
          <w:sz w:val="21"/>
          <w:szCs w:val="21"/>
        </w:rPr>
        <w:t xml:space="preserve"> — CERT-In and funding feeds, added incrementally so no single integration blocks the pipeline.</w:t>
      </w:r>
    </w:p>
    <w:p>
      <w:pPr>
        <w:pStyle w:val="ListParagraph"/>
        <w:numPr>
          <w:ilvl w:val="0"/>
          <w:numId w:val="2"/>
        </w:numPr>
        <w:spacing w:after="90" w:line="276"/>
      </w:pPr>
      <w:r>
        <w:rPr>
          <w:b/>
          <w:bCs/>
          <w:sz w:val="21"/>
          <w:szCs w:val="21"/>
        </w:rPr>
        <w:t xml:space="preserve">Stabilize the external faithfulness number</w:t>
      </w:r>
      <w:r>
        <w:rPr>
          <w:sz w:val="21"/>
          <w:szCs w:val="21"/>
        </w:rPr>
        <w:t xml:space="preserve"> — grow the golden set until the independent judge's strictness gap settles enough to quote one number publicly.</w:t>
      </w:r>
    </w:p>
    <w:p>
      <w:pPr>
        <w:pStyle w:val="Heading1"/>
        <w:spacing w:after="140" w:before="320"/>
      </w:pPr>
      <w:r>
        <w:rPr>
          <w:b/>
          <w:bCs/>
          <w:color w:val="1F4E5F"/>
          <w:sz w:val="30"/>
          <w:szCs w:val="30"/>
        </w:rPr>
        <w:t xml:space="preserve">9. What this project demonstrates</w:t>
      </w:r>
    </w:p>
    <w:p>
      <w:pPr>
        <w:spacing w:after="140" w:line="276"/>
      </w:pPr>
      <w:r>
        <w:rPr>
          <w:sz w:val="21"/>
          <w:szCs w:val="21"/>
        </w:rPr>
        <w:t xml:space="preserve">Beyond a working product, this build is a record of </w:t>
      </w:r>
      <w:r>
        <w:rPr>
          <w:b/>
          <w:bCs/>
          <w:sz w:val="21"/>
          <w:szCs w:val="21"/>
        </w:rPr>
        <w:t xml:space="preserve">AI-PM judgment</w:t>
      </w:r>
      <w:r>
        <w:rPr>
          <w:sz w:val="21"/>
          <w:szCs w:val="21"/>
        </w:rPr>
        <w:t xml:space="preserve">: defining a non-negotiable behavioral contract and making it measurable; choosing a model on multi-pass evidence rather than reputation; shipping a feature and then reporting honestly that it didn't earn its cost; distinguishing a broken test from a broken model; and drawing the fabrication boundary precisely enough that the same rule governs generation, runtime safety, and offline evaluation. The reasoning behind every choice is logged in </w:t>
      </w:r>
      <w:r>
        <w:rPr>
          <w:rFonts w:ascii="Consolas" w:cs="Consolas" w:eastAsia="Consolas" w:hAnsi="Consolas"/>
          <w:sz w:val="20"/>
          <w:szCs w:val="20"/>
        </w:rPr>
        <w:t xml:space="preserve">DECISIONS.md</w:t>
      </w:r>
      <w:r>
        <w:rPr>
          <w:sz w:val="21"/>
          <w:szCs w:val="21"/>
        </w:rPr>
        <w:t xml:space="preserve">; the spec it produced lives in the PRD; and the numbers are re-runnable, not asserted.</w:t>
      </w:r>
    </w:p>
    <w:p>
      <w:pPr>
        <w:pBdr>
          <w:bottom w:val="single" w:color="1F4E5F" w:sz="6"/>
        </w:pBdr>
        <w:spacing w:after="160" w:before="60"/>
      </w:pPr>
    </w:p>
    <w:p>
      <w:r>
        <w:rPr>
          <w:i/>
          <w:iCs/>
          <w:color w:val="5A5A5A"/>
          <w:sz w:val="18"/>
          <w:szCs w:val="18"/>
        </w:rPr>
        <w:t xml:space="preserve">Live demo: cyber-deal-engine.streamlit.app  ·  Source &amp; decision log in the repo.</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2026-07-15T13:20:17.081Z</dcterms:created>
  <dcterms:modified xsi:type="dcterms:W3CDTF">2026-07-15T13:20:17.082Z</dcterms:modified>
</cp:coreProperties>
</file>

<file path=docProps/custom.xml><?xml version="1.0" encoding="utf-8"?>
<Properties xmlns="http://schemas.openxmlformats.org/officeDocument/2006/custom-properties" xmlns:vt="http://schemas.openxmlformats.org/officeDocument/2006/docPropsVTypes"/>
</file>