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b/>
          <w:bCs/>
          <w:color w:val="1F3B63"/>
          <w:sz w:val="52"/>
          <w:szCs w:val="52"/>
        </w:rPr>
        <w:t xml:space="preserve">Cyber Deal Engine</w:t>
      </w:r>
    </w:p>
    <w:p>
      <w:pPr>
        <w:spacing w:after="60"/>
        <w:jc w:val="center"/>
      </w:pPr>
      <w:r>
        <w:rPr>
          <w:i/>
          <w:iCs/>
          <w:color w:val="2E6CB5"/>
          <w:sz w:val="26"/>
          <w:szCs w:val="26"/>
        </w:rPr>
        <w:t xml:space="preserve">Building the product AND the AI-PM career behind it</w:t>
      </w:r>
    </w:p>
    <w:p>
      <w:pPr>
        <w:spacing w:after="200"/>
        <w:jc w:val="center"/>
      </w:pPr>
      <w:r>
        <w:rPr>
          <w:color w:val="555555"/>
          <w:sz w:val="20"/>
          <w:szCs w:val="20"/>
        </w:rPr>
        <w:t xml:space="preserve">A 3-month skills roadmap + technical build plan  ·  Target: ₹50 LPA+ (Bangalore) / €150k+ (Netherlands)</w:t>
      </w:r>
    </w:p>
    <w:p>
      <w:pPr>
        <w:pBdr>
          <w:bottom w:val="single" w:color="2E6CB5" w:sz="8"/>
        </w:pBdr>
        <w:spacing w:after="200"/>
      </w:pPr>
    </w:p>
    <w:p>
      <w:pPr>
        <w:pStyle w:val="Heading1"/>
        <w:spacing w:after="140" w:before="320"/>
      </w:pPr>
      <w:r>
        <w:rPr>
          <w:b/>
          <w:bCs/>
          <w:color w:val="1F3B63"/>
          <w:sz w:val="30"/>
          <w:szCs w:val="30"/>
        </w:rPr>
        <w:t xml:space="preserve">0.  How to use this document</w:t>
      </w:r>
    </w:p>
    <w:p>
      <w:pPr>
        <w:spacing w:after="120" w:line="276"/>
      </w:pPr>
      <w:r>
        <w:rPr>
          <w:color w:val="222222"/>
          <w:sz w:val="22"/>
          <w:szCs w:val="22"/>
        </w:rPr>
        <w:t xml:space="preserve">This plan does two jobs at once. It tells you how to build Cyber Deal Engine as a real, deployed product, and it makes sure that every component you build teaches a technical skill that AI-PM hiring panels test for in 2026. The build is the syllabus. By the end you will not just have a portfolio project — you will have hands-on reps in the exact stack (RAG, agents, evaluation, cost modelling) that separates a ₹50 LPA AI PM from a generic PM.</w:t>
      </w:r>
    </w:p>
    <w:p>
      <w:pPr>
        <w:spacing w:after="120" w:line="276"/>
      </w:pPr>
      <w:r>
        <w:rPr>
          <w:color w:val="222222"/>
          <w:sz w:val="22"/>
          <w:szCs w:val="22"/>
        </w:rPr>
        <w:t xml:space="preserve">Read Section 1 for an honest reality check on the comp goal, Section 2 for what these roles actually require, Section 3 for how your product maps onto those skills, Section 4 for the architecture and stack, Section 5 for the week-by-week plan, and Section 6 for the artifacts that get you interviews.</w:t>
      </w:r>
    </w:p>
    <w:p>
      <w:pPr>
        <w:pStyle w:val="Heading1"/>
        <w:spacing w:after="140" w:before="320"/>
      </w:pPr>
      <w:r>
        <w:rPr>
          <w:b/>
          <w:bCs/>
          <w:color w:val="1F3B63"/>
          <w:sz w:val="30"/>
          <w:szCs w:val="30"/>
        </w:rPr>
        <w:t xml:space="preserve">1.  The goal, and an honest reality check</w:t>
      </w:r>
    </w:p>
    <w:p>
      <w:pPr>
        <w:spacing w:after="120" w:line="276"/>
      </w:pPr>
      <w:r>
        <w:rPr>
          <w:color w:val="222222"/>
          <w:sz w:val="22"/>
          <w:szCs w:val="22"/>
        </w:rPr>
        <w:t xml:space="preserve">Both targets are real and reachable. The data supports the numbers you picked:</w:t>
      </w:r>
    </w:p>
    <w:p>
      <w:pPr>
        <w:pStyle w:val="ListParagraph"/>
        <w:numPr>
          <w:ilvl w:val="0"/>
          <w:numId w:val="1"/>
        </w:numPr>
        <w:spacing w:after="70" w:line="268"/>
      </w:pPr>
      <w:r>
        <w:rPr>
          <w:b/>
          <w:bCs/>
          <w:color w:val="222222"/>
          <w:sz w:val="22"/>
          <w:szCs w:val="22"/>
        </w:rPr>
        <w:t xml:space="preserve">Bangalore: </w:t>
      </w:r>
      <w:r>
        <w:rPr>
          <w:color w:val="222222"/>
          <w:sz w:val="22"/>
          <w:szCs w:val="22"/>
        </w:rPr>
        <w:t xml:space="preserve">AI Product Manager compensation averages around ₹50.5 LPA, with the middle of the market sitting between ₹31 LPA and ₹78 LPA, and top earners past ₹1 crore. Your ₹50 LPA+ target is the market average, not the ceiling — realistic with the right skills and a strong project.</w:t>
      </w:r>
    </w:p>
    <w:p>
      <w:pPr>
        <w:pStyle w:val="ListParagraph"/>
        <w:numPr>
          <w:ilvl w:val="0"/>
          <w:numId w:val="1"/>
        </w:numPr>
        <w:spacing w:after="70" w:line="268"/>
      </w:pPr>
      <w:r>
        <w:rPr>
          <w:b/>
          <w:bCs/>
          <w:color w:val="222222"/>
          <w:sz w:val="22"/>
          <w:szCs w:val="22"/>
        </w:rPr>
        <w:t xml:space="preserve">Netherlands: </w:t>
      </w:r>
      <w:r>
        <w:rPr>
          <w:color w:val="222222"/>
          <w:sz w:val="22"/>
          <w:szCs w:val="22"/>
        </w:rPr>
        <w:t xml:space="preserve">AI PM median total compensation in Amsterdam is roughly $214k (≈ €190k), with an AI-specialisation premium of ~28% over generalist PMs. €150k+ total comp is achievable, and as an expat the 30% ruling boosts take-home pay further for up to 5 years.</w:t>
      </w:r>
    </w:p>
    <w:p>
      <w:pPr>
        <w:spacing w:after="80"/>
      </w:pPr>
    </w:p>
    <w:p>
      <w:pPr>
        <w:spacing w:after="120" w:line="276"/>
      </w:pPr>
      <w:r>
        <w:rPr>
          <w:color w:val="555555"/>
          <w:sz w:val="22"/>
          <w:szCs w:val="22"/>
        </w:rPr>
        <w:t xml:space="preserve">The honest part: a portfolio project — even an excellent one — is a differentiator, not a guarantee. These salary bands usually assume some prior product or domain experience and strong interview performance. What this project gives you is the thing most PM candidates lack and cannot fake: evidence that you can scope, build, measure, and ship an AI product. Pair it with the interview prep and artifacts in Section 6, and you convert 'interesting résumé' into 'we need to talk to this person.'</w:t>
      </w:r>
    </w:p>
    <w:p>
      <w:pPr>
        <w:pStyle w:val="Heading1"/>
        <w:spacing w:after="140" w:before="320"/>
      </w:pPr>
      <w:r>
        <w:rPr>
          <w:b/>
          <w:bCs/>
          <w:color w:val="1F3B63"/>
          <w:sz w:val="30"/>
          <w:szCs w:val="30"/>
        </w:rPr>
        <w:t xml:space="preserve">2.  What a 2026 AI-PM role actually tests for</w:t>
      </w:r>
    </w:p>
    <w:p>
      <w:pPr>
        <w:spacing w:after="120" w:line="276"/>
      </w:pPr>
      <w:r>
        <w:rPr>
          <w:color w:val="222222"/>
          <w:sz w:val="22"/>
          <w:szCs w:val="22"/>
        </w:rPr>
        <w:t xml:space="preserve">Hiring has shifted. Panels no longer reward Notion pages full of frameworks, nor thin 'I wrapped an API in a chatbot' demos. They scan for production signal: can you handle failure modes, structure data, choose models on tradeoffs, and prove quality with numbers? These are the skill areas, ranked roughly by how much they differentiate candidates.</w:t>
      </w:r>
    </w:p>
    <w:p>
      <w:pPr>
        <w:spacing w:after="60"/>
      </w:pP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1900"/>
        <w:gridCol w:w="4560"/>
        <w:gridCol w:w="2900"/>
      </w:tblGrid>
      <w:tr>
        <w:tc>
          <w:tcPr>
            <w:tcW w:type="dxa" w:w="1900"/>
            <w:shd w:fill="1F3B63" w:color="auto" w:val="clear"/>
            <w:tcMar>
              <w:top w:type="dxa" w:w="60"/>
              <w:left w:type="dxa" w:w="90"/>
              <w:bottom w:type="dxa" w:w="60"/>
              <w:right w:type="dxa" w:w="90"/>
            </w:tcMar>
          </w:tcPr>
          <w:p>
            <w:pPr>
              <w:spacing w:after="40" w:line="260"/>
            </w:pPr>
            <w:r>
              <w:rPr>
                <w:b/>
                <w:bCs/>
                <w:color w:val="FFFFFF"/>
                <w:sz w:val="19"/>
                <w:szCs w:val="19"/>
              </w:rPr>
              <w:t xml:space="preserve">Skill area</w:t>
            </w:r>
          </w:p>
        </w:tc>
        <w:tc>
          <w:tcPr>
            <w:tcW w:type="dxa" w:w="4560"/>
            <w:shd w:fill="1F3B63" w:color="auto" w:val="clear"/>
            <w:tcMar>
              <w:top w:type="dxa" w:w="60"/>
              <w:left w:type="dxa" w:w="90"/>
              <w:bottom w:type="dxa" w:w="60"/>
              <w:right w:type="dxa" w:w="90"/>
            </w:tcMar>
          </w:tcPr>
          <w:p>
            <w:pPr>
              <w:spacing w:after="40" w:line="260"/>
            </w:pPr>
            <w:r>
              <w:rPr>
                <w:b/>
                <w:bCs/>
                <w:color w:val="FFFFFF"/>
                <w:sz w:val="19"/>
                <w:szCs w:val="19"/>
              </w:rPr>
              <w:t xml:space="preserve">What it means</w:t>
            </w:r>
          </w:p>
        </w:tc>
        <w:tc>
          <w:tcPr>
            <w:tcW w:type="dxa" w:w="2900"/>
            <w:shd w:fill="1F3B63" w:color="auto" w:val="clear"/>
            <w:tcMar>
              <w:top w:type="dxa" w:w="60"/>
              <w:left w:type="dxa" w:w="90"/>
              <w:bottom w:type="dxa" w:w="60"/>
              <w:right w:type="dxa" w:w="90"/>
            </w:tcMar>
          </w:tcPr>
          <w:p>
            <w:pPr>
              <w:spacing w:after="40" w:line="260"/>
            </w:pPr>
            <w:r>
              <w:rPr>
                <w:b/>
                <w:bCs/>
                <w:color w:val="FFFFFF"/>
                <w:sz w:val="19"/>
                <w:szCs w:val="19"/>
              </w:rPr>
              <w:t xml:space="preserve">Why it matters / how it's tested</w:t>
            </w:r>
          </w:p>
        </w:tc>
      </w:tr>
      <w:tr>
        <w:tc>
          <w:tcPr>
            <w:tcW w:type="dxa" w:w="1900"/>
            <w:shd w:fill="FFFFFF" w:color="auto" w:val="clear"/>
            <w:tcMar>
              <w:top w:type="dxa" w:w="60"/>
              <w:left w:type="dxa" w:w="90"/>
              <w:bottom w:type="dxa" w:w="60"/>
              <w:right w:type="dxa" w:w="90"/>
            </w:tcMar>
            <w:vAlign w:val="center"/>
          </w:tcPr>
          <w:p>
            <w:pPr>
              <w:spacing w:after="40" w:line="260"/>
            </w:pPr>
            <w:r>
              <w:rPr>
                <w:color w:val="222222"/>
                <w:sz w:val="19"/>
                <w:szCs w:val="19"/>
              </w:rPr>
              <w:t xml:space="preserve">LLM Evaluation ★</w:t>
            </w:r>
          </w:p>
        </w:tc>
        <w:tc>
          <w:tcPr>
            <w:tcW w:type="dxa" w:w="4560"/>
            <w:shd w:fill="FFFFFF" w:color="auto" w:val="clear"/>
            <w:tcMar>
              <w:top w:type="dxa" w:w="60"/>
              <w:left w:type="dxa" w:w="90"/>
              <w:bottom w:type="dxa" w:w="60"/>
              <w:right w:type="dxa" w:w="90"/>
            </w:tcMar>
            <w:vAlign w:val="center"/>
          </w:tcPr>
          <w:p>
            <w:pPr>
              <w:spacing w:after="40" w:line="260"/>
            </w:pPr>
            <w:r>
              <w:rPr>
                <w:color w:val="222222"/>
                <w:sz w:val="19"/>
                <w:szCs w:val="19"/>
              </w:rPr>
              <w:t xml:space="preserve">Golden datasets, LLM-as-judge, RAGAS, faithfulness/precision/recall, regression sets run before every model change.</w:t>
            </w:r>
          </w:p>
        </w:tc>
        <w:tc>
          <w:tcPr>
            <w:tcW w:type="dxa" w:w="2900"/>
            <w:shd w:fill="FFFFFF" w:color="auto" w:val="clear"/>
            <w:tcMar>
              <w:top w:type="dxa" w:w="60"/>
              <w:left w:type="dxa" w:w="90"/>
              <w:bottom w:type="dxa" w:w="60"/>
              <w:right w:type="dxa" w:w="90"/>
            </w:tcMar>
            <w:vAlign w:val="center"/>
          </w:tcPr>
          <w:p>
            <w:pPr>
              <w:spacing w:after="40" w:line="260"/>
            </w:pPr>
            <w:r>
              <w:rPr>
                <w:color w:val="222222"/>
                <w:sz w:val="19"/>
                <w:szCs w:val="19"/>
              </w:rPr>
              <w:t xml:space="preserve">The single highest-signal skill. Almost no PM candidates have built an eval harness; every serious AI team needs one.</w:t>
            </w:r>
          </w:p>
        </w:tc>
      </w:tr>
      <w:tr>
        <w:tc>
          <w:tcPr>
            <w:tcW w:type="dxa" w:w="1900"/>
            <w:shd w:fill="EAF1FA" w:color="auto" w:val="clear"/>
            <w:tcMar>
              <w:top w:type="dxa" w:w="60"/>
              <w:left w:type="dxa" w:w="90"/>
              <w:bottom w:type="dxa" w:w="60"/>
              <w:right w:type="dxa" w:w="90"/>
            </w:tcMar>
            <w:vAlign w:val="center"/>
          </w:tcPr>
          <w:p>
            <w:pPr>
              <w:spacing w:after="40" w:line="260"/>
            </w:pPr>
            <w:r>
              <w:rPr>
                <w:color w:val="222222"/>
                <w:sz w:val="19"/>
                <w:szCs w:val="19"/>
              </w:rPr>
              <w:t xml:space="preserve">RAG architecture</w:t>
            </w:r>
          </w:p>
        </w:tc>
        <w:tc>
          <w:tcPr>
            <w:tcW w:type="dxa" w:w="4560"/>
            <w:shd w:fill="EAF1FA" w:color="auto" w:val="clear"/>
            <w:tcMar>
              <w:top w:type="dxa" w:w="60"/>
              <w:left w:type="dxa" w:w="90"/>
              <w:bottom w:type="dxa" w:w="60"/>
              <w:right w:type="dxa" w:w="90"/>
            </w:tcMar>
            <w:vAlign w:val="center"/>
          </w:tcPr>
          <w:p>
            <w:pPr>
              <w:spacing w:after="40" w:line="260"/>
            </w:pPr>
            <w:r>
              <w:rPr>
                <w:color w:val="222222"/>
                <w:sz w:val="19"/>
                <w:szCs w:val="19"/>
              </w:rPr>
              <w:t xml:space="preserve">Embeddings, chunking strategies, vector search, reranking, grounding to reduce hallucination.</w:t>
            </w:r>
          </w:p>
        </w:tc>
        <w:tc>
          <w:tcPr>
            <w:tcW w:type="dxa" w:w="2900"/>
            <w:shd w:fill="EAF1FA" w:color="auto" w:val="clear"/>
            <w:tcMar>
              <w:top w:type="dxa" w:w="60"/>
              <w:left w:type="dxa" w:w="90"/>
              <w:bottom w:type="dxa" w:w="60"/>
              <w:right w:type="dxa" w:w="90"/>
            </w:tcMar>
            <w:vAlign w:val="center"/>
          </w:tcPr>
          <w:p>
            <w:pPr>
              <w:spacing w:after="40" w:line="260"/>
            </w:pPr>
            <w:r>
              <w:rPr>
                <w:color w:val="222222"/>
                <w:sz w:val="19"/>
                <w:szCs w:val="19"/>
              </w:rPr>
              <w:t xml:space="preserve">Nearly every enterprise AI app is a RAG system. Tells you what the AI can and cannot reliably do.</w:t>
            </w:r>
          </w:p>
        </w:tc>
      </w:tr>
      <w:tr>
        <w:tc>
          <w:tcPr>
            <w:tcW w:type="dxa" w:w="1900"/>
            <w:shd w:fill="FFFFFF" w:color="auto" w:val="clear"/>
            <w:tcMar>
              <w:top w:type="dxa" w:w="60"/>
              <w:left w:type="dxa" w:w="90"/>
              <w:bottom w:type="dxa" w:w="60"/>
              <w:right w:type="dxa" w:w="90"/>
            </w:tcMar>
            <w:vAlign w:val="center"/>
          </w:tcPr>
          <w:p>
            <w:pPr>
              <w:spacing w:after="40" w:line="260"/>
            </w:pPr>
            <w:r>
              <w:rPr>
                <w:color w:val="222222"/>
                <w:sz w:val="19"/>
                <w:szCs w:val="19"/>
              </w:rPr>
              <w:t xml:space="preserve">Agents &amp; orchestration</w:t>
            </w:r>
          </w:p>
        </w:tc>
        <w:tc>
          <w:tcPr>
            <w:tcW w:type="dxa" w:w="4560"/>
            <w:shd w:fill="FFFFFF" w:color="auto" w:val="clear"/>
            <w:tcMar>
              <w:top w:type="dxa" w:w="60"/>
              <w:left w:type="dxa" w:w="90"/>
              <w:bottom w:type="dxa" w:w="60"/>
              <w:right w:type="dxa" w:w="90"/>
            </w:tcMar>
            <w:vAlign w:val="center"/>
          </w:tcPr>
          <w:p>
            <w:pPr>
              <w:spacing w:after="40" w:line="260"/>
            </w:pPr>
            <w:r>
              <w:rPr>
                <w:color w:val="222222"/>
                <w:sz w:val="19"/>
                <w:szCs w:val="19"/>
              </w:rPr>
              <w:t xml:space="preserve">Tool use, deciding when to retrieve vs. call an API vs. act, multi-step workflows (LangGraph).</w:t>
            </w:r>
          </w:p>
        </w:tc>
        <w:tc>
          <w:tcPr>
            <w:tcW w:type="dxa" w:w="2900"/>
            <w:shd w:fill="FFFFFF" w:color="auto" w:val="clear"/>
            <w:tcMar>
              <w:top w:type="dxa" w:w="60"/>
              <w:left w:type="dxa" w:w="90"/>
              <w:bottom w:type="dxa" w:w="60"/>
              <w:right w:type="dxa" w:w="90"/>
            </w:tcMar>
            <w:vAlign w:val="center"/>
          </w:tcPr>
          <w:p>
            <w:pPr>
              <w:spacing w:after="40" w:line="260"/>
            </w:pPr>
            <w:r>
              <w:rPr>
                <w:color w:val="222222"/>
                <w:sz w:val="19"/>
                <w:szCs w:val="19"/>
              </w:rPr>
              <w:t xml:space="preserve">The 2026 frontier. Shows you can reason about autonomy, control, and reliability.</w:t>
            </w:r>
          </w:p>
        </w:tc>
      </w:tr>
      <w:tr>
        <w:tc>
          <w:tcPr>
            <w:tcW w:type="dxa" w:w="1900"/>
            <w:shd w:fill="EAF1FA" w:color="auto" w:val="clear"/>
            <w:tcMar>
              <w:top w:type="dxa" w:w="60"/>
              <w:left w:type="dxa" w:w="90"/>
              <w:bottom w:type="dxa" w:w="60"/>
              <w:right w:type="dxa" w:w="90"/>
            </w:tcMar>
            <w:vAlign w:val="center"/>
          </w:tcPr>
          <w:p>
            <w:pPr>
              <w:spacing w:after="40" w:line="260"/>
            </w:pPr>
            <w:r>
              <w:rPr>
                <w:color w:val="222222"/>
                <w:sz w:val="19"/>
                <w:szCs w:val="19"/>
              </w:rPr>
              <w:t xml:space="preserve">Prompting &amp; guardrails</w:t>
            </w:r>
          </w:p>
        </w:tc>
        <w:tc>
          <w:tcPr>
            <w:tcW w:type="dxa" w:w="4560"/>
            <w:shd w:fill="EAF1FA" w:color="auto" w:val="clear"/>
            <w:tcMar>
              <w:top w:type="dxa" w:w="60"/>
              <w:left w:type="dxa" w:w="90"/>
              <w:bottom w:type="dxa" w:w="60"/>
              <w:right w:type="dxa" w:w="90"/>
            </w:tcMar>
            <w:vAlign w:val="center"/>
          </w:tcPr>
          <w:p>
            <w:pPr>
              <w:spacing w:after="40" w:line="260"/>
            </w:pPr>
            <w:r>
              <w:rPr>
                <w:color w:val="222222"/>
                <w:sz w:val="19"/>
                <w:szCs w:val="19"/>
              </w:rPr>
              <w:t xml:space="preserve">Structured outputs, red-teaming, safety/capability tradeoffs, failure handling.</w:t>
            </w:r>
          </w:p>
        </w:tc>
        <w:tc>
          <w:tcPr>
            <w:tcW w:type="dxa" w:w="2900"/>
            <w:shd w:fill="EAF1FA" w:color="auto" w:val="clear"/>
            <w:tcMar>
              <w:top w:type="dxa" w:w="60"/>
              <w:left w:type="dxa" w:w="90"/>
              <w:bottom w:type="dxa" w:w="60"/>
              <w:right w:type="dxa" w:w="90"/>
            </w:tcMar>
            <w:vAlign w:val="center"/>
          </w:tcPr>
          <w:p>
            <w:pPr>
              <w:spacing w:after="40" w:line="260"/>
            </w:pPr>
            <w:r>
              <w:rPr>
                <w:color w:val="222222"/>
                <w:sz w:val="19"/>
                <w:szCs w:val="19"/>
              </w:rPr>
              <w:t xml:space="preserve">Directly maps to product quality and trust — core PM territory.</w:t>
            </w:r>
          </w:p>
        </w:tc>
      </w:tr>
      <w:tr>
        <w:tc>
          <w:tcPr>
            <w:tcW w:type="dxa" w:w="1900"/>
            <w:shd w:fill="FFFFFF" w:color="auto" w:val="clear"/>
            <w:tcMar>
              <w:top w:type="dxa" w:w="60"/>
              <w:left w:type="dxa" w:w="90"/>
              <w:bottom w:type="dxa" w:w="60"/>
              <w:right w:type="dxa" w:w="90"/>
            </w:tcMar>
            <w:vAlign w:val="center"/>
          </w:tcPr>
          <w:p>
            <w:pPr>
              <w:spacing w:after="40" w:line="260"/>
            </w:pPr>
            <w:r>
              <w:rPr>
                <w:color w:val="222222"/>
                <w:sz w:val="19"/>
                <w:szCs w:val="19"/>
              </w:rPr>
              <w:t xml:space="preserve">Cost &amp; latency modelling</w:t>
            </w:r>
          </w:p>
        </w:tc>
        <w:tc>
          <w:tcPr>
            <w:tcW w:type="dxa" w:w="4560"/>
            <w:shd w:fill="FFFFFF" w:color="auto" w:val="clear"/>
            <w:tcMar>
              <w:top w:type="dxa" w:w="60"/>
              <w:left w:type="dxa" w:w="90"/>
              <w:bottom w:type="dxa" w:w="60"/>
              <w:right w:type="dxa" w:w="90"/>
            </w:tcMar>
            <w:vAlign w:val="center"/>
          </w:tcPr>
          <w:p>
            <w:pPr>
              <w:spacing w:after="40" w:line="260"/>
            </w:pPr>
            <w:r>
              <w:rPr>
                <w:color w:val="222222"/>
                <w:sz w:val="19"/>
                <w:szCs w:val="19"/>
              </w:rPr>
              <w:t xml:space="preserve">Token economics, model-tier selection, caching, cost-per-insight.</w:t>
            </w:r>
          </w:p>
        </w:tc>
        <w:tc>
          <w:tcPr>
            <w:tcW w:type="dxa" w:w="2900"/>
            <w:shd w:fill="FFFFFF" w:color="auto" w:val="clear"/>
            <w:tcMar>
              <w:top w:type="dxa" w:w="60"/>
              <w:left w:type="dxa" w:w="90"/>
              <w:bottom w:type="dxa" w:w="60"/>
              <w:right w:type="dxa" w:w="90"/>
            </w:tcMar>
            <w:vAlign w:val="center"/>
          </w:tcPr>
          <w:p>
            <w:pPr>
              <w:spacing w:after="40" w:line="260"/>
            </w:pPr>
            <w:r>
              <w:rPr>
                <w:color w:val="222222"/>
                <w:sz w:val="19"/>
                <w:szCs w:val="19"/>
              </w:rPr>
              <w:t xml:space="preserve">Turns 'it works' into 'it's a business.' Rare and valued.</w:t>
            </w:r>
          </w:p>
        </w:tc>
      </w:tr>
      <w:tr>
        <w:tc>
          <w:tcPr>
            <w:tcW w:type="dxa" w:w="1900"/>
            <w:shd w:fill="EAF1FA" w:color="auto" w:val="clear"/>
            <w:tcMar>
              <w:top w:type="dxa" w:w="60"/>
              <w:left w:type="dxa" w:w="90"/>
              <w:bottom w:type="dxa" w:w="60"/>
              <w:right w:type="dxa" w:w="90"/>
            </w:tcMar>
            <w:vAlign w:val="center"/>
          </w:tcPr>
          <w:p>
            <w:pPr>
              <w:spacing w:after="40" w:line="260"/>
            </w:pPr>
            <w:r>
              <w:rPr>
                <w:color w:val="222222"/>
                <w:sz w:val="19"/>
                <w:szCs w:val="19"/>
              </w:rPr>
              <w:t xml:space="preserve">Data &amp; analysis</w:t>
            </w:r>
          </w:p>
        </w:tc>
        <w:tc>
          <w:tcPr>
            <w:tcW w:type="dxa" w:w="4560"/>
            <w:shd w:fill="EAF1FA" w:color="auto" w:val="clear"/>
            <w:tcMar>
              <w:top w:type="dxa" w:w="60"/>
              <w:left w:type="dxa" w:w="90"/>
              <w:bottom w:type="dxa" w:w="60"/>
              <w:right w:type="dxa" w:w="90"/>
            </w:tcMar>
            <w:vAlign w:val="center"/>
          </w:tcPr>
          <w:p>
            <w:pPr>
              <w:spacing w:after="40" w:line="260"/>
            </w:pPr>
            <w:r>
              <w:rPr>
                <w:color w:val="222222"/>
                <w:sz w:val="19"/>
                <w:szCs w:val="19"/>
              </w:rPr>
              <w:t xml:space="preserve">SQL, Python, basic pipelines, experiment tracking (W&amp;B / LangSmith).</w:t>
            </w:r>
          </w:p>
        </w:tc>
        <w:tc>
          <w:tcPr>
            <w:tcW w:type="dxa" w:w="2900"/>
            <w:shd w:fill="EAF1FA" w:color="auto" w:val="clear"/>
            <w:tcMar>
              <w:top w:type="dxa" w:w="60"/>
              <w:left w:type="dxa" w:w="90"/>
              <w:bottom w:type="dxa" w:w="60"/>
              <w:right w:type="dxa" w:w="90"/>
            </w:tcMar>
            <w:vAlign w:val="center"/>
          </w:tcPr>
          <w:p>
            <w:pPr>
              <w:spacing w:after="40" w:line="260"/>
            </w:pPr>
            <w:r>
              <w:rPr>
                <w:color w:val="222222"/>
                <w:sz w:val="19"/>
                <w:szCs w:val="19"/>
              </w:rPr>
              <w:t xml:space="preserve">Baseline literacy; lets you self-serve answers instead of waiting on eng.</w:t>
            </w:r>
          </w:p>
        </w:tc>
      </w:tr>
      <w:tr>
        <w:tc>
          <w:tcPr>
            <w:tcW w:type="dxa" w:w="1900"/>
            <w:shd w:fill="FFFFFF" w:color="auto" w:val="clear"/>
            <w:tcMar>
              <w:top w:type="dxa" w:w="60"/>
              <w:left w:type="dxa" w:w="90"/>
              <w:bottom w:type="dxa" w:w="60"/>
              <w:right w:type="dxa" w:w="90"/>
            </w:tcMar>
            <w:vAlign w:val="center"/>
          </w:tcPr>
          <w:p>
            <w:pPr>
              <w:spacing w:after="40" w:line="260"/>
            </w:pPr>
            <w:r>
              <w:rPr>
                <w:color w:val="222222"/>
                <w:sz w:val="19"/>
                <w:szCs w:val="19"/>
              </w:rPr>
              <w:t xml:space="preserve">AI-native PRD</w:t>
            </w:r>
          </w:p>
        </w:tc>
        <w:tc>
          <w:tcPr>
            <w:tcW w:type="dxa" w:w="4560"/>
            <w:shd w:fill="FFFFFF" w:color="auto" w:val="clear"/>
            <w:tcMar>
              <w:top w:type="dxa" w:w="60"/>
              <w:left w:type="dxa" w:w="90"/>
              <w:bottom w:type="dxa" w:w="60"/>
              <w:right w:type="dxa" w:w="90"/>
            </w:tcMar>
            <w:vAlign w:val="center"/>
          </w:tcPr>
          <w:p>
            <w:pPr>
              <w:spacing w:after="40" w:line="260"/>
            </w:pPr>
            <w:r>
              <w:rPr>
                <w:color w:val="222222"/>
                <w:sz w:val="19"/>
                <w:szCs w:val="19"/>
              </w:rPr>
              <w:t xml:space="preserve">Model-choice rationale, eval criteria, failure modes documented as first-class sections.</w:t>
            </w:r>
          </w:p>
        </w:tc>
        <w:tc>
          <w:tcPr>
            <w:tcW w:type="dxa" w:w="2900"/>
            <w:shd w:fill="FFFFFF" w:color="auto" w:val="clear"/>
            <w:tcMar>
              <w:top w:type="dxa" w:w="60"/>
              <w:left w:type="dxa" w:w="90"/>
              <w:bottom w:type="dxa" w:w="60"/>
              <w:right w:type="dxa" w:w="90"/>
            </w:tcMar>
            <w:vAlign w:val="center"/>
          </w:tcPr>
          <w:p>
            <w:pPr>
              <w:spacing w:after="40" w:line="260"/>
            </w:pPr>
            <w:r>
              <w:rPr>
                <w:color w:val="222222"/>
                <w:sz w:val="19"/>
                <w:szCs w:val="19"/>
              </w:rPr>
              <w:t xml:space="preserve">The written artifact that most impresses senior AI leaders.</w:t>
            </w:r>
          </w:p>
        </w:tc>
      </w:tr>
      <w:tr>
        <w:tc>
          <w:tcPr>
            <w:tcW w:type="dxa" w:w="1900"/>
            <w:shd w:fill="EAF1FA" w:color="auto" w:val="clear"/>
            <w:tcMar>
              <w:top w:type="dxa" w:w="60"/>
              <w:left w:type="dxa" w:w="90"/>
              <w:bottom w:type="dxa" w:w="60"/>
              <w:right w:type="dxa" w:w="90"/>
            </w:tcMar>
            <w:vAlign w:val="center"/>
          </w:tcPr>
          <w:p>
            <w:pPr>
              <w:spacing w:after="40" w:line="260"/>
            </w:pPr>
            <w:r>
              <w:rPr>
                <w:color w:val="222222"/>
                <w:sz w:val="19"/>
                <w:szCs w:val="19"/>
              </w:rPr>
              <w:t xml:space="preserve">Shipping prototypes</w:t>
            </w:r>
          </w:p>
        </w:tc>
        <w:tc>
          <w:tcPr>
            <w:tcW w:type="dxa" w:w="4560"/>
            <w:shd w:fill="EAF1FA" w:color="auto" w:val="clear"/>
            <w:tcMar>
              <w:top w:type="dxa" w:w="60"/>
              <w:left w:type="dxa" w:w="90"/>
              <w:bottom w:type="dxa" w:w="60"/>
              <w:right w:type="dxa" w:w="90"/>
            </w:tcMar>
            <w:vAlign w:val="center"/>
          </w:tcPr>
          <w:p>
            <w:pPr>
              <w:spacing w:after="40" w:line="260"/>
            </w:pPr>
            <w:r>
              <w:rPr>
                <w:color w:val="222222"/>
                <w:sz w:val="19"/>
                <w:szCs w:val="19"/>
              </w:rPr>
              <w:t xml:space="preserve">Getting hands-on with Cursor / v0 / APIs to produce a working, deployed demo.</w:t>
            </w:r>
          </w:p>
        </w:tc>
        <w:tc>
          <w:tcPr>
            <w:tcW w:type="dxa" w:w="2900"/>
            <w:shd w:fill="EAF1FA" w:color="auto" w:val="clear"/>
            <w:tcMar>
              <w:top w:type="dxa" w:w="60"/>
              <w:left w:type="dxa" w:w="90"/>
              <w:bottom w:type="dxa" w:w="60"/>
              <w:right w:type="dxa" w:w="90"/>
            </w:tcMar>
            <w:vAlign w:val="center"/>
          </w:tcPr>
          <w:p>
            <w:pPr>
              <w:spacing w:after="40" w:line="260"/>
            </w:pPr>
            <w:r>
              <w:rPr>
                <w:color w:val="222222"/>
                <w:sz w:val="19"/>
                <w:szCs w:val="19"/>
              </w:rPr>
              <w:t xml:space="preserve">Evidence you can think AND ship — the offer-stage differentiator.</w:t>
            </w:r>
          </w:p>
        </w:tc>
      </w:tr>
    </w:tbl>
    <w:p>
      <w:pPr>
        <w:spacing w:after="60"/>
      </w:pPr>
    </w:p>
    <w:p>
      <w:pPr>
        <w:spacing w:after="120" w:line="276"/>
      </w:pPr>
      <w:r>
        <w:rPr>
          <w:i/>
          <w:iCs/>
          <w:color w:val="2E6CB5"/>
          <w:sz w:val="22"/>
          <w:szCs w:val="22"/>
        </w:rPr>
        <w:t xml:space="preserve">Notice the good news: your product genuinely needs every one of these. You are not doing busywork exercises — building Cyber Deal Engine forces you through the exact curriculum.</w:t>
      </w:r>
    </w:p>
    <w:p>
      <w:r>
        <w:br w:type="page"/>
      </w:r>
    </w:p>
    <w:p>
      <w:pPr>
        <w:pStyle w:val="Heading1"/>
        <w:spacing w:after="140" w:before="320"/>
      </w:pPr>
      <w:r>
        <w:rPr>
          <w:b/>
          <w:bCs/>
          <w:color w:val="1F3B63"/>
          <w:sz w:val="30"/>
          <w:szCs w:val="30"/>
        </w:rPr>
        <w:t xml:space="preserve">3.  How Cyber Deal Engine teaches each skill</w:t>
      </w:r>
    </w:p>
    <w:p>
      <w:pPr>
        <w:spacing w:after="120" w:line="276"/>
      </w:pPr>
      <w:r>
        <w:rPr>
          <w:color w:val="222222"/>
          <w:sz w:val="22"/>
          <w:szCs w:val="22"/>
        </w:rPr>
        <w:t xml:space="preserve">Cyber Deal Engine is, underneath, a signal-to-brief pipeline: ingest cybersecurity signals about target companies, ground them in retrievable knowledge, let an agent assemble a pre-meeting brief, and measure whether that brief is actually good. Each layer of that pipeline is a skill from Section 2.</w:t>
      </w:r>
    </w:p>
    <w:p>
      <w:pPr>
        <w:spacing w:after="60"/>
      </w:pP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3100"/>
        <w:gridCol w:w="3260"/>
        <w:gridCol w:w="3000"/>
      </w:tblGrid>
      <w:tr>
        <w:tc>
          <w:tcPr>
            <w:tcW w:type="dxa" w:w="3100"/>
            <w:shd w:fill="1F3B63" w:color="auto" w:val="clear"/>
            <w:tcMar>
              <w:top w:type="dxa" w:w="60"/>
              <w:left w:type="dxa" w:w="90"/>
              <w:bottom w:type="dxa" w:w="60"/>
              <w:right w:type="dxa" w:w="90"/>
            </w:tcMar>
          </w:tcPr>
          <w:p>
            <w:pPr>
              <w:spacing w:after="40" w:line="260"/>
            </w:pPr>
            <w:r>
              <w:rPr>
                <w:b/>
                <w:bCs/>
                <w:color w:val="FFFFFF"/>
                <w:sz w:val="19"/>
                <w:szCs w:val="19"/>
              </w:rPr>
              <w:t xml:space="preserve">Product component</w:t>
            </w:r>
          </w:p>
        </w:tc>
        <w:tc>
          <w:tcPr>
            <w:tcW w:type="dxa" w:w="3260"/>
            <w:shd w:fill="1F3B63" w:color="auto" w:val="clear"/>
            <w:tcMar>
              <w:top w:type="dxa" w:w="60"/>
              <w:left w:type="dxa" w:w="90"/>
              <w:bottom w:type="dxa" w:w="60"/>
              <w:right w:type="dxa" w:w="90"/>
            </w:tcMar>
          </w:tcPr>
          <w:p>
            <w:pPr>
              <w:spacing w:after="40" w:line="260"/>
            </w:pPr>
            <w:r>
              <w:rPr>
                <w:b/>
                <w:bCs/>
                <w:color w:val="FFFFFF"/>
                <w:sz w:val="19"/>
                <w:szCs w:val="19"/>
              </w:rPr>
              <w:t xml:space="preserve">What you build</w:t>
            </w:r>
          </w:p>
        </w:tc>
        <w:tc>
          <w:tcPr>
            <w:tcW w:type="dxa" w:w="3000"/>
            <w:shd w:fill="1F3B63" w:color="auto" w:val="clear"/>
            <w:tcMar>
              <w:top w:type="dxa" w:w="60"/>
              <w:left w:type="dxa" w:w="90"/>
              <w:bottom w:type="dxa" w:w="60"/>
              <w:right w:type="dxa" w:w="90"/>
            </w:tcMar>
          </w:tcPr>
          <w:p>
            <w:pPr>
              <w:spacing w:after="40" w:line="260"/>
            </w:pPr>
            <w:r>
              <w:rPr>
                <w:b/>
                <w:bCs/>
                <w:color w:val="FFFFFF"/>
                <w:sz w:val="19"/>
                <w:szCs w:val="19"/>
              </w:rPr>
              <w:t xml:space="preserve">Skill it trains</w:t>
            </w:r>
          </w:p>
        </w:tc>
      </w:tr>
      <w:tr>
        <w:tc>
          <w:tcPr>
            <w:tcW w:type="dxa" w:w="3100"/>
            <w:shd w:fill="FFFFFF" w:color="auto" w:val="clear"/>
            <w:tcMar>
              <w:top w:type="dxa" w:w="60"/>
              <w:left w:type="dxa" w:w="90"/>
              <w:bottom w:type="dxa" w:w="60"/>
              <w:right w:type="dxa" w:w="90"/>
            </w:tcMar>
            <w:vAlign w:val="center"/>
          </w:tcPr>
          <w:p>
            <w:pPr>
              <w:spacing w:after="40" w:line="260"/>
            </w:pPr>
            <w:r>
              <w:rPr>
                <w:color w:val="222222"/>
                <w:sz w:val="19"/>
                <w:szCs w:val="19"/>
              </w:rPr>
              <w:t xml:space="preserve">Signal ingestion</w:t>
            </w:r>
          </w:p>
        </w:tc>
        <w:tc>
          <w:tcPr>
            <w:tcW w:type="dxa" w:w="3260"/>
            <w:shd w:fill="FFFFFF" w:color="auto" w:val="clear"/>
            <w:tcMar>
              <w:top w:type="dxa" w:w="60"/>
              <w:left w:type="dxa" w:w="90"/>
              <w:bottom w:type="dxa" w:w="60"/>
              <w:right w:type="dxa" w:w="90"/>
            </w:tcMar>
            <w:vAlign w:val="center"/>
          </w:tcPr>
          <w:p>
            <w:pPr>
              <w:spacing w:after="40" w:line="260"/>
            </w:pPr>
            <w:r>
              <w:rPr>
                <w:color w:val="222222"/>
                <w:sz w:val="19"/>
                <w:szCs w:val="19"/>
              </w:rPr>
              <w:t xml:space="preserve">Pull breach news, CVE/NVD advisories, CERT-In alerts, funding/financial news, and social signals via APIs; normalise and dedupe.</w:t>
            </w:r>
          </w:p>
        </w:tc>
        <w:tc>
          <w:tcPr>
            <w:tcW w:type="dxa" w:w="3000"/>
            <w:shd w:fill="FFFFFF" w:color="auto" w:val="clear"/>
            <w:tcMar>
              <w:top w:type="dxa" w:w="60"/>
              <w:left w:type="dxa" w:w="90"/>
              <w:bottom w:type="dxa" w:w="60"/>
              <w:right w:type="dxa" w:w="90"/>
            </w:tcMar>
            <w:vAlign w:val="center"/>
          </w:tcPr>
          <w:p>
            <w:pPr>
              <w:spacing w:after="40" w:line="260"/>
            </w:pPr>
            <w:r>
              <w:rPr>
                <w:color w:val="222222"/>
                <w:sz w:val="19"/>
                <w:szCs w:val="19"/>
              </w:rPr>
              <w:t xml:space="preserve">Data pipelines, API integration, SQL/Python</w:t>
            </w:r>
          </w:p>
        </w:tc>
      </w:tr>
      <w:tr>
        <w:tc>
          <w:tcPr>
            <w:tcW w:type="dxa" w:w="3100"/>
            <w:shd w:fill="EAF1FA" w:color="auto" w:val="clear"/>
            <w:tcMar>
              <w:top w:type="dxa" w:w="60"/>
              <w:left w:type="dxa" w:w="90"/>
              <w:bottom w:type="dxa" w:w="60"/>
              <w:right w:type="dxa" w:w="90"/>
            </w:tcMar>
            <w:vAlign w:val="center"/>
          </w:tcPr>
          <w:p>
            <w:pPr>
              <w:spacing w:after="40" w:line="260"/>
            </w:pPr>
            <w:r>
              <w:rPr>
                <w:color w:val="222222"/>
                <w:sz w:val="19"/>
                <w:szCs w:val="19"/>
              </w:rPr>
              <w:t xml:space="preserve">Company–signal matching</w:t>
            </w:r>
          </w:p>
        </w:tc>
        <w:tc>
          <w:tcPr>
            <w:tcW w:type="dxa" w:w="3260"/>
            <w:shd w:fill="EAF1FA" w:color="auto" w:val="clear"/>
            <w:tcMar>
              <w:top w:type="dxa" w:w="60"/>
              <w:left w:type="dxa" w:w="90"/>
              <w:bottom w:type="dxa" w:w="60"/>
              <w:right w:type="dxa" w:w="90"/>
            </w:tcMar>
            <w:vAlign w:val="center"/>
          </w:tcPr>
          <w:p>
            <w:pPr>
              <w:spacing w:after="40" w:line="260"/>
            </w:pPr>
            <w:r>
              <w:rPr>
                <w:color w:val="222222"/>
                <w:sz w:val="19"/>
                <w:szCs w:val="19"/>
              </w:rPr>
              <w:t xml:space="preserve">Resolve messy signals to the right company entity; filter noise so only deal-relevant signals survive.</w:t>
            </w:r>
          </w:p>
        </w:tc>
        <w:tc>
          <w:tcPr>
            <w:tcW w:type="dxa" w:w="3000"/>
            <w:shd w:fill="EAF1FA" w:color="auto" w:val="clear"/>
            <w:tcMar>
              <w:top w:type="dxa" w:w="60"/>
              <w:left w:type="dxa" w:w="90"/>
              <w:bottom w:type="dxa" w:w="60"/>
              <w:right w:type="dxa" w:w="90"/>
            </w:tcMar>
            <w:vAlign w:val="center"/>
          </w:tcPr>
          <w:p>
            <w:pPr>
              <w:spacing w:after="40" w:line="260"/>
            </w:pPr>
            <w:r>
              <w:rPr>
                <w:color w:val="222222"/>
                <w:sz w:val="19"/>
                <w:szCs w:val="19"/>
              </w:rPr>
              <w:t xml:space="preserve">Data structuring, precision/recall thinking</w:t>
            </w:r>
          </w:p>
        </w:tc>
      </w:tr>
      <w:tr>
        <w:tc>
          <w:tcPr>
            <w:tcW w:type="dxa" w:w="3100"/>
            <w:shd w:fill="FFFFFF" w:color="auto" w:val="clear"/>
            <w:tcMar>
              <w:top w:type="dxa" w:w="60"/>
              <w:left w:type="dxa" w:w="90"/>
              <w:bottom w:type="dxa" w:w="60"/>
              <w:right w:type="dxa" w:w="90"/>
            </w:tcMar>
            <w:vAlign w:val="center"/>
          </w:tcPr>
          <w:p>
            <w:pPr>
              <w:spacing w:after="40" w:line="260"/>
            </w:pPr>
            <w:r>
              <w:rPr>
                <w:color w:val="222222"/>
                <w:sz w:val="19"/>
                <w:szCs w:val="19"/>
              </w:rPr>
              <w:t xml:space="preserve">Knowledge store + RAG</w:t>
            </w:r>
          </w:p>
        </w:tc>
        <w:tc>
          <w:tcPr>
            <w:tcW w:type="dxa" w:w="3260"/>
            <w:shd w:fill="FFFFFF" w:color="auto" w:val="clear"/>
            <w:tcMar>
              <w:top w:type="dxa" w:w="60"/>
              <w:left w:type="dxa" w:w="90"/>
              <w:bottom w:type="dxa" w:w="60"/>
              <w:right w:type="dxa" w:w="90"/>
            </w:tcMar>
            <w:vAlign w:val="center"/>
          </w:tcPr>
          <w:p>
            <w:pPr>
              <w:spacing w:after="40" w:line="260"/>
            </w:pPr>
            <w:r>
              <w:rPr>
                <w:color w:val="222222"/>
                <w:sz w:val="19"/>
                <w:szCs w:val="19"/>
              </w:rPr>
              <w:t xml:space="preserve">Chunk and embed signals + company context into a vector DB; retrieve the right evidence per meeting.</w:t>
            </w:r>
          </w:p>
        </w:tc>
        <w:tc>
          <w:tcPr>
            <w:tcW w:type="dxa" w:w="3000"/>
            <w:shd w:fill="FFFFFF" w:color="auto" w:val="clear"/>
            <w:tcMar>
              <w:top w:type="dxa" w:w="60"/>
              <w:left w:type="dxa" w:w="90"/>
              <w:bottom w:type="dxa" w:w="60"/>
              <w:right w:type="dxa" w:w="90"/>
            </w:tcMar>
            <w:vAlign w:val="center"/>
          </w:tcPr>
          <w:p>
            <w:pPr>
              <w:spacing w:after="40" w:line="260"/>
            </w:pPr>
            <w:r>
              <w:rPr>
                <w:color w:val="222222"/>
                <w:sz w:val="19"/>
                <w:szCs w:val="19"/>
              </w:rPr>
              <w:t xml:space="preserve">RAG architecture, embeddings, reranking</w:t>
            </w:r>
          </w:p>
        </w:tc>
      </w:tr>
      <w:tr>
        <w:tc>
          <w:tcPr>
            <w:tcW w:type="dxa" w:w="3100"/>
            <w:shd w:fill="EAF1FA" w:color="auto" w:val="clear"/>
            <w:tcMar>
              <w:top w:type="dxa" w:w="60"/>
              <w:left w:type="dxa" w:w="90"/>
              <w:bottom w:type="dxa" w:w="60"/>
              <w:right w:type="dxa" w:w="90"/>
            </w:tcMar>
            <w:vAlign w:val="center"/>
          </w:tcPr>
          <w:p>
            <w:pPr>
              <w:spacing w:after="40" w:line="260"/>
            </w:pPr>
            <w:r>
              <w:rPr>
                <w:color w:val="222222"/>
                <w:sz w:val="19"/>
                <w:szCs w:val="19"/>
              </w:rPr>
              <w:t xml:space="preserve">Brief-generation agent</w:t>
            </w:r>
          </w:p>
        </w:tc>
        <w:tc>
          <w:tcPr>
            <w:tcW w:type="dxa" w:w="3260"/>
            <w:shd w:fill="EAF1FA" w:color="auto" w:val="clear"/>
            <w:tcMar>
              <w:top w:type="dxa" w:w="60"/>
              <w:left w:type="dxa" w:w="90"/>
              <w:bottom w:type="dxa" w:w="60"/>
              <w:right w:type="dxa" w:w="90"/>
            </w:tcMar>
            <w:vAlign w:val="center"/>
          </w:tcPr>
          <w:p>
            <w:pPr>
              <w:spacing w:after="40" w:line="260"/>
            </w:pPr>
            <w:r>
              <w:rPr>
                <w:color w:val="222222"/>
                <w:sz w:val="19"/>
                <w:szCs w:val="19"/>
              </w:rPr>
              <w:t xml:space="preserve">A LangGraph agent that decides when to retrieve, when to call an API, and assembles the brief.</w:t>
            </w:r>
          </w:p>
        </w:tc>
        <w:tc>
          <w:tcPr>
            <w:tcW w:type="dxa" w:w="3000"/>
            <w:shd w:fill="EAF1FA" w:color="auto" w:val="clear"/>
            <w:tcMar>
              <w:top w:type="dxa" w:w="60"/>
              <w:left w:type="dxa" w:w="90"/>
              <w:bottom w:type="dxa" w:w="60"/>
              <w:right w:type="dxa" w:w="90"/>
            </w:tcMar>
            <w:vAlign w:val="center"/>
          </w:tcPr>
          <w:p>
            <w:pPr>
              <w:spacing w:after="40" w:line="260"/>
            </w:pPr>
            <w:r>
              <w:rPr>
                <w:color w:val="222222"/>
                <w:sz w:val="19"/>
                <w:szCs w:val="19"/>
              </w:rPr>
              <w:t xml:space="preserve">Agents &amp; orchestration, tool use</w:t>
            </w:r>
          </w:p>
        </w:tc>
      </w:tr>
      <w:tr>
        <w:tc>
          <w:tcPr>
            <w:tcW w:type="dxa" w:w="3100"/>
            <w:shd w:fill="FFFFFF" w:color="auto" w:val="clear"/>
            <w:tcMar>
              <w:top w:type="dxa" w:w="60"/>
              <w:left w:type="dxa" w:w="90"/>
              <w:bottom w:type="dxa" w:w="60"/>
              <w:right w:type="dxa" w:w="90"/>
            </w:tcMar>
            <w:vAlign w:val="center"/>
          </w:tcPr>
          <w:p>
            <w:pPr>
              <w:spacing w:after="40" w:line="260"/>
            </w:pPr>
            <w:r>
              <w:rPr>
                <w:color w:val="222222"/>
                <w:sz w:val="19"/>
                <w:szCs w:val="19"/>
              </w:rPr>
              <w:t xml:space="preserve">Brief output</w:t>
            </w:r>
          </w:p>
        </w:tc>
        <w:tc>
          <w:tcPr>
            <w:tcW w:type="dxa" w:w="3260"/>
            <w:shd w:fill="FFFFFF" w:color="auto" w:val="clear"/>
            <w:tcMar>
              <w:top w:type="dxa" w:w="60"/>
              <w:left w:type="dxa" w:w="90"/>
              <w:bottom w:type="dxa" w:w="60"/>
              <w:right w:type="dxa" w:w="90"/>
            </w:tcMar>
            <w:vAlign w:val="center"/>
          </w:tcPr>
          <w:p>
            <w:pPr>
              <w:spacing w:after="40" w:line="260"/>
            </w:pPr>
            <w:r>
              <w:rPr>
                <w:color w:val="222222"/>
                <w:sz w:val="19"/>
                <w:szCs w:val="19"/>
              </w:rPr>
              <w:t xml:space="preserve">Structured output: 3 key bullets + 1 opener + 3 objection questions, grounded in cited sources.</w:t>
            </w:r>
          </w:p>
        </w:tc>
        <w:tc>
          <w:tcPr>
            <w:tcW w:type="dxa" w:w="3000"/>
            <w:shd w:fill="FFFFFF" w:color="auto" w:val="clear"/>
            <w:tcMar>
              <w:top w:type="dxa" w:w="60"/>
              <w:left w:type="dxa" w:w="90"/>
              <w:bottom w:type="dxa" w:w="60"/>
              <w:right w:type="dxa" w:w="90"/>
            </w:tcMar>
            <w:vAlign w:val="center"/>
          </w:tcPr>
          <w:p>
            <w:pPr>
              <w:spacing w:after="40" w:line="260"/>
            </w:pPr>
            <w:r>
              <w:rPr>
                <w:color w:val="222222"/>
                <w:sz w:val="19"/>
                <w:szCs w:val="19"/>
              </w:rPr>
              <w:t xml:space="preserve">Prompt engineering, structured outputs, guardrails</w:t>
            </w:r>
          </w:p>
        </w:tc>
      </w:tr>
      <w:tr>
        <w:tc>
          <w:tcPr>
            <w:tcW w:type="dxa" w:w="3100"/>
            <w:shd w:fill="EAF1FA" w:color="auto" w:val="clear"/>
            <w:tcMar>
              <w:top w:type="dxa" w:w="60"/>
              <w:left w:type="dxa" w:w="90"/>
              <w:bottom w:type="dxa" w:w="60"/>
              <w:right w:type="dxa" w:w="90"/>
            </w:tcMar>
            <w:vAlign w:val="center"/>
          </w:tcPr>
          <w:p>
            <w:pPr>
              <w:spacing w:after="40" w:line="260"/>
            </w:pPr>
            <w:r>
              <w:rPr>
                <w:color w:val="222222"/>
                <w:sz w:val="19"/>
                <w:szCs w:val="19"/>
              </w:rPr>
              <w:t xml:space="preserve">Evaluation harness ★</w:t>
            </w:r>
          </w:p>
        </w:tc>
        <w:tc>
          <w:tcPr>
            <w:tcW w:type="dxa" w:w="3260"/>
            <w:shd w:fill="EAF1FA" w:color="auto" w:val="clear"/>
            <w:tcMar>
              <w:top w:type="dxa" w:w="60"/>
              <w:left w:type="dxa" w:w="90"/>
              <w:bottom w:type="dxa" w:w="60"/>
              <w:right w:type="dxa" w:w="90"/>
            </w:tcMar>
            <w:vAlign w:val="center"/>
          </w:tcPr>
          <w:p>
            <w:pPr>
              <w:spacing w:after="40" w:line="260"/>
            </w:pPr>
            <w:r>
              <w:rPr>
                <w:color w:val="222222"/>
                <w:sz w:val="19"/>
                <w:szCs w:val="19"/>
              </w:rPr>
              <w:t xml:space="preserve">50-task golden dataset; LLM-as-judge + RAGAS scoring faithfulness/relevance; weekly regression dashboard across models.</w:t>
            </w:r>
          </w:p>
        </w:tc>
        <w:tc>
          <w:tcPr>
            <w:tcW w:type="dxa" w:w="3000"/>
            <w:shd w:fill="EAF1FA" w:color="auto" w:val="clear"/>
            <w:tcMar>
              <w:top w:type="dxa" w:w="60"/>
              <w:left w:type="dxa" w:w="90"/>
              <w:bottom w:type="dxa" w:w="60"/>
              <w:right w:type="dxa" w:w="90"/>
            </w:tcMar>
            <w:vAlign w:val="center"/>
          </w:tcPr>
          <w:p>
            <w:pPr>
              <w:spacing w:after="40" w:line="260"/>
            </w:pPr>
            <w:r>
              <w:rPr>
                <w:color w:val="222222"/>
                <w:sz w:val="19"/>
                <w:szCs w:val="19"/>
              </w:rPr>
              <w:t xml:space="preserve">LLM evaluation — your headline skill</w:t>
            </w:r>
          </w:p>
        </w:tc>
      </w:tr>
      <w:tr>
        <w:tc>
          <w:tcPr>
            <w:tcW w:type="dxa" w:w="3100"/>
            <w:shd w:fill="FFFFFF" w:color="auto" w:val="clear"/>
            <w:tcMar>
              <w:top w:type="dxa" w:w="60"/>
              <w:left w:type="dxa" w:w="90"/>
              <w:bottom w:type="dxa" w:w="60"/>
              <w:right w:type="dxa" w:w="90"/>
            </w:tcMar>
            <w:vAlign w:val="center"/>
          </w:tcPr>
          <w:p>
            <w:pPr>
              <w:spacing w:after="40" w:line="260"/>
            </w:pPr>
            <w:r>
              <w:rPr>
                <w:color w:val="222222"/>
                <w:sz w:val="19"/>
                <w:szCs w:val="19"/>
              </w:rPr>
              <w:t xml:space="preserve">Cost &amp; observability</w:t>
            </w:r>
          </w:p>
        </w:tc>
        <w:tc>
          <w:tcPr>
            <w:tcW w:type="dxa" w:w="3260"/>
            <w:shd w:fill="FFFFFF" w:color="auto" w:val="clear"/>
            <w:tcMar>
              <w:top w:type="dxa" w:w="60"/>
              <w:left w:type="dxa" w:w="90"/>
              <w:bottom w:type="dxa" w:w="60"/>
              <w:right w:type="dxa" w:w="90"/>
            </w:tcMar>
            <w:vAlign w:val="center"/>
          </w:tcPr>
          <w:p>
            <w:pPr>
              <w:spacing w:after="40" w:line="260"/>
            </w:pPr>
            <w:r>
              <w:rPr>
                <w:color w:val="222222"/>
                <w:sz w:val="19"/>
                <w:szCs w:val="19"/>
              </w:rPr>
              <w:t xml:space="preserve">LangSmith tracing; token cost-per-brief model; compare GPT-4o / Claude / Gemini / a small open model.</w:t>
            </w:r>
          </w:p>
        </w:tc>
        <w:tc>
          <w:tcPr>
            <w:tcW w:type="dxa" w:w="3000"/>
            <w:shd w:fill="FFFFFF" w:color="auto" w:val="clear"/>
            <w:tcMar>
              <w:top w:type="dxa" w:w="60"/>
              <w:left w:type="dxa" w:w="90"/>
              <w:bottom w:type="dxa" w:w="60"/>
              <w:right w:type="dxa" w:w="90"/>
            </w:tcMar>
            <w:vAlign w:val="center"/>
          </w:tcPr>
          <w:p>
            <w:pPr>
              <w:spacing w:after="40" w:line="260"/>
            </w:pPr>
            <w:r>
              <w:rPr>
                <w:color w:val="222222"/>
                <w:sz w:val="19"/>
                <w:szCs w:val="19"/>
              </w:rPr>
              <w:t xml:space="preserve">Cost-latency modelling, model selection</w:t>
            </w:r>
          </w:p>
        </w:tc>
      </w:tr>
      <w:tr>
        <w:tc>
          <w:tcPr>
            <w:tcW w:type="dxa" w:w="3100"/>
            <w:shd w:fill="EAF1FA" w:color="auto" w:val="clear"/>
            <w:tcMar>
              <w:top w:type="dxa" w:w="60"/>
              <w:left w:type="dxa" w:w="90"/>
              <w:bottom w:type="dxa" w:w="60"/>
              <w:right w:type="dxa" w:w="90"/>
            </w:tcMar>
            <w:vAlign w:val="center"/>
          </w:tcPr>
          <w:p>
            <w:pPr>
              <w:spacing w:after="40" w:line="260"/>
            </w:pPr>
            <w:r>
              <w:rPr>
                <w:color w:val="222222"/>
                <w:sz w:val="19"/>
                <w:szCs w:val="19"/>
              </w:rPr>
              <w:t xml:space="preserve">Delivery</w:t>
            </w:r>
          </w:p>
        </w:tc>
        <w:tc>
          <w:tcPr>
            <w:tcW w:type="dxa" w:w="3260"/>
            <w:shd w:fill="EAF1FA" w:color="auto" w:val="clear"/>
            <w:tcMar>
              <w:top w:type="dxa" w:w="60"/>
              <w:left w:type="dxa" w:w="90"/>
              <w:bottom w:type="dxa" w:w="60"/>
              <w:right w:type="dxa" w:w="90"/>
            </w:tcMar>
            <w:vAlign w:val="center"/>
          </w:tcPr>
          <w:p>
            <w:pPr>
              <w:spacing w:after="40" w:line="260"/>
            </w:pPr>
            <w:r>
              <w:rPr>
                <w:color w:val="222222"/>
                <w:sz w:val="19"/>
                <w:szCs w:val="19"/>
              </w:rPr>
              <w:t xml:space="preserve">Push the brief to a Slack/Telegram bot before the calendar meeting; no heavy UI.</w:t>
            </w:r>
          </w:p>
        </w:tc>
        <w:tc>
          <w:tcPr>
            <w:tcW w:type="dxa" w:w="3000"/>
            <w:shd w:fill="EAF1FA" w:color="auto" w:val="clear"/>
            <w:tcMar>
              <w:top w:type="dxa" w:w="60"/>
              <w:left w:type="dxa" w:w="90"/>
              <w:bottom w:type="dxa" w:w="60"/>
              <w:right w:type="dxa" w:w="90"/>
            </w:tcMar>
            <w:vAlign w:val="center"/>
          </w:tcPr>
          <w:p>
            <w:pPr>
              <w:spacing w:after="40" w:line="260"/>
            </w:pPr>
            <w:r>
              <w:rPr>
                <w:color w:val="222222"/>
                <w:sz w:val="19"/>
                <w:szCs w:val="19"/>
              </w:rPr>
              <w:t xml:space="preserve">Product packaging, distribution thinking</w:t>
            </w:r>
          </w:p>
        </w:tc>
      </w:tr>
    </w:tbl>
    <w:p>
      <w:pPr>
        <w:pStyle w:val="Heading1"/>
        <w:spacing w:after="140" w:before="320"/>
      </w:pPr>
      <w:r>
        <w:rPr>
          <w:b/>
          <w:bCs/>
          <w:color w:val="1F3B63"/>
          <w:sz w:val="30"/>
          <w:szCs w:val="30"/>
        </w:rPr>
        <w:t xml:space="preserve">4.  Technical architecture &amp; recommended stack</w:t>
      </w:r>
    </w:p>
    <w:p>
      <w:pPr>
        <w:spacing w:after="120" w:line="276"/>
      </w:pPr>
      <w:r>
        <w:rPr>
          <w:color w:val="222222"/>
          <w:sz w:val="22"/>
          <w:szCs w:val="22"/>
        </w:rPr>
        <w:t xml:space="preserve">Keep the stack boring and standard — the goal is to learn the industry-default tools you'll be expected to reason about in interviews, not to be exotic. Prototype-grade choices are fine; note the production upgrade path in your DECISIONS.md.</w:t>
      </w:r>
    </w:p>
    <w:p>
      <w:pPr>
        <w:pStyle w:val="Heading3"/>
        <w:spacing w:after="60" w:before="160"/>
      </w:pPr>
      <w:r>
        <w:rPr>
          <w:b/>
          <w:bCs/>
          <w:color w:val="1F3B63"/>
          <w:sz w:val="23"/>
          <w:szCs w:val="23"/>
        </w:rPr>
        <w:t xml:space="preserve">Data flow (one line)</w:t>
      </w:r>
    </w:p>
    <w:p>
      <w:pPr>
        <w:spacing w:after="120" w:line="276"/>
      </w:pPr>
      <w:r>
        <w:rPr>
          <w:color w:val="222222"/>
          <w:sz w:val="22"/>
          <w:szCs w:val="22"/>
        </w:rPr>
        <w:t xml:space="preserve">Sources → Ingestion jobs → Signal store (Postgres) → Chunk + embed → Vector DB → </w:t>
      </w:r>
      <w:r>
        <w:rPr>
          <w:b/>
          <w:bCs/>
          <w:color w:val="222222"/>
          <w:sz w:val="22"/>
          <w:szCs w:val="22"/>
        </w:rPr>
        <w:t xml:space="preserve">Retrieval + Agent (LangGraph) → Brief generator (LLM) → Eval harness → Slack/Telegram delivery</w:t>
      </w:r>
    </w:p>
    <w:p>
      <w:pPr>
        <w:pStyle w:val="Heading3"/>
        <w:spacing w:after="60" w:before="160"/>
      </w:pPr>
      <w:r>
        <w:rPr>
          <w:b/>
          <w:bCs/>
          <w:color w:val="1F3B63"/>
          <w:sz w:val="23"/>
          <w:szCs w:val="23"/>
        </w:rPr>
        <w:t xml:space="preserve">Component choices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2600"/>
        <w:gridCol w:w="3200"/>
        <w:gridCol w:w="3560"/>
      </w:tblGrid>
      <w:tr>
        <w:tc>
          <w:tcPr>
            <w:tcW w:type="dxa" w:w="2600"/>
            <w:shd w:fill="1F3B63" w:color="auto" w:val="clear"/>
            <w:tcMar>
              <w:top w:type="dxa" w:w="60"/>
              <w:left w:type="dxa" w:w="90"/>
              <w:bottom w:type="dxa" w:w="60"/>
              <w:right w:type="dxa" w:w="90"/>
            </w:tcMar>
          </w:tcPr>
          <w:p>
            <w:pPr>
              <w:spacing w:after="40" w:line="260"/>
            </w:pPr>
            <w:r>
              <w:rPr>
                <w:b/>
                <w:bCs/>
                <w:color w:val="FFFFFF"/>
                <w:sz w:val="19"/>
                <w:szCs w:val="19"/>
              </w:rPr>
              <w:t xml:space="preserve">Layer</w:t>
            </w:r>
          </w:p>
        </w:tc>
        <w:tc>
          <w:tcPr>
            <w:tcW w:type="dxa" w:w="3200"/>
            <w:shd w:fill="1F3B63" w:color="auto" w:val="clear"/>
            <w:tcMar>
              <w:top w:type="dxa" w:w="60"/>
              <w:left w:type="dxa" w:w="90"/>
              <w:bottom w:type="dxa" w:w="60"/>
              <w:right w:type="dxa" w:w="90"/>
            </w:tcMar>
          </w:tcPr>
          <w:p>
            <w:pPr>
              <w:spacing w:after="40" w:line="260"/>
            </w:pPr>
            <w:r>
              <w:rPr>
                <w:b/>
                <w:bCs/>
                <w:color w:val="FFFFFF"/>
                <w:sz w:val="19"/>
                <w:szCs w:val="19"/>
              </w:rPr>
              <w:t xml:space="preserve">Prototype (use now)</w:t>
            </w:r>
          </w:p>
        </w:tc>
        <w:tc>
          <w:tcPr>
            <w:tcW w:type="dxa" w:w="3560"/>
            <w:shd w:fill="1F3B63" w:color="auto" w:val="clear"/>
            <w:tcMar>
              <w:top w:type="dxa" w:w="60"/>
              <w:left w:type="dxa" w:w="90"/>
              <w:bottom w:type="dxa" w:w="60"/>
              <w:right w:type="dxa" w:w="90"/>
            </w:tcMar>
          </w:tcPr>
          <w:p>
            <w:pPr>
              <w:spacing w:after="40" w:line="260"/>
            </w:pPr>
            <w:r>
              <w:rPr>
                <w:b/>
                <w:bCs/>
                <w:color w:val="FFFFFF"/>
                <w:sz w:val="19"/>
                <w:szCs w:val="19"/>
              </w:rPr>
              <w:t xml:space="preserve">Production upgrade path</w:t>
            </w:r>
          </w:p>
        </w:tc>
      </w:tr>
      <w:tr>
        <w:tc>
          <w:tcPr>
            <w:tcW w:type="dxa" w:w="2600"/>
            <w:shd w:fill="FFFFFF" w:color="auto" w:val="clear"/>
            <w:tcMar>
              <w:top w:type="dxa" w:w="60"/>
              <w:left w:type="dxa" w:w="90"/>
              <w:bottom w:type="dxa" w:w="60"/>
              <w:right w:type="dxa" w:w="90"/>
            </w:tcMar>
            <w:vAlign w:val="center"/>
          </w:tcPr>
          <w:p>
            <w:pPr>
              <w:spacing w:after="40" w:line="260"/>
            </w:pPr>
            <w:r>
              <w:rPr>
                <w:color w:val="222222"/>
                <w:sz w:val="19"/>
                <w:szCs w:val="19"/>
              </w:rPr>
              <w:t xml:space="preserve">Language / glue</w:t>
            </w:r>
          </w:p>
        </w:tc>
        <w:tc>
          <w:tcPr>
            <w:tcW w:type="dxa" w:w="3200"/>
            <w:shd w:fill="FFFFFF" w:color="auto" w:val="clear"/>
            <w:tcMar>
              <w:top w:type="dxa" w:w="60"/>
              <w:left w:type="dxa" w:w="90"/>
              <w:bottom w:type="dxa" w:w="60"/>
              <w:right w:type="dxa" w:w="90"/>
            </w:tcMar>
            <w:vAlign w:val="center"/>
          </w:tcPr>
          <w:p>
            <w:pPr>
              <w:spacing w:after="40" w:line="260"/>
            </w:pPr>
            <w:r>
              <w:rPr>
                <w:color w:val="222222"/>
                <w:sz w:val="19"/>
                <w:szCs w:val="19"/>
              </w:rPr>
              <w:t xml:space="preserve">Python 3.11</w:t>
            </w:r>
          </w:p>
        </w:tc>
        <w:tc>
          <w:tcPr>
            <w:tcW w:type="dxa" w:w="3560"/>
            <w:shd w:fill="FFFFFF" w:color="auto" w:val="clear"/>
            <w:tcMar>
              <w:top w:type="dxa" w:w="60"/>
              <w:left w:type="dxa" w:w="90"/>
              <w:bottom w:type="dxa" w:w="60"/>
              <w:right w:type="dxa" w:w="90"/>
            </w:tcMar>
            <w:vAlign w:val="center"/>
          </w:tcPr>
          <w:p>
            <w:pPr>
              <w:spacing w:after="40" w:line="260"/>
            </w:pPr>
            <w:r>
              <w:rPr>
                <w:color w:val="222222"/>
                <w:sz w:val="19"/>
                <w:szCs w:val="19"/>
              </w:rPr>
              <w:t xml:space="preserve">Same; add typing, tests, background workers</w:t>
            </w:r>
          </w:p>
        </w:tc>
      </w:tr>
      <w:tr>
        <w:tc>
          <w:tcPr>
            <w:tcW w:type="dxa" w:w="2600"/>
            <w:shd w:fill="EAF1FA" w:color="auto" w:val="clear"/>
            <w:tcMar>
              <w:top w:type="dxa" w:w="60"/>
              <w:left w:type="dxa" w:w="90"/>
              <w:bottom w:type="dxa" w:w="60"/>
              <w:right w:type="dxa" w:w="90"/>
            </w:tcMar>
            <w:vAlign w:val="center"/>
          </w:tcPr>
          <w:p>
            <w:pPr>
              <w:spacing w:after="40" w:line="260"/>
            </w:pPr>
            <w:r>
              <w:rPr>
                <w:color w:val="222222"/>
                <w:sz w:val="19"/>
                <w:szCs w:val="19"/>
              </w:rPr>
              <w:t xml:space="preserve">Orchestration</w:t>
            </w:r>
          </w:p>
        </w:tc>
        <w:tc>
          <w:tcPr>
            <w:tcW w:type="dxa" w:w="3200"/>
            <w:shd w:fill="EAF1FA" w:color="auto" w:val="clear"/>
            <w:tcMar>
              <w:top w:type="dxa" w:w="60"/>
              <w:left w:type="dxa" w:w="90"/>
              <w:bottom w:type="dxa" w:w="60"/>
              <w:right w:type="dxa" w:w="90"/>
            </w:tcMar>
            <w:vAlign w:val="center"/>
          </w:tcPr>
          <w:p>
            <w:pPr>
              <w:spacing w:after="40" w:line="260"/>
            </w:pPr>
            <w:r>
              <w:rPr>
                <w:color w:val="222222"/>
                <w:sz w:val="19"/>
                <w:szCs w:val="19"/>
              </w:rPr>
              <w:t xml:space="preserve">LangChain + LangGraph</w:t>
            </w:r>
          </w:p>
        </w:tc>
        <w:tc>
          <w:tcPr>
            <w:tcW w:type="dxa" w:w="3560"/>
            <w:shd w:fill="EAF1FA" w:color="auto" w:val="clear"/>
            <w:tcMar>
              <w:top w:type="dxa" w:w="60"/>
              <w:left w:type="dxa" w:w="90"/>
              <w:bottom w:type="dxa" w:w="60"/>
              <w:right w:type="dxa" w:w="90"/>
            </w:tcMar>
            <w:vAlign w:val="center"/>
          </w:tcPr>
          <w:p>
            <w:pPr>
              <w:spacing w:after="40" w:line="260"/>
            </w:pPr>
            <w:r>
              <w:rPr>
                <w:color w:val="222222"/>
                <w:sz w:val="19"/>
                <w:szCs w:val="19"/>
              </w:rPr>
              <w:t xml:space="preserve">Same; add checkpointing, retries, human-in-loop</w:t>
            </w:r>
          </w:p>
        </w:tc>
      </w:tr>
      <w:tr>
        <w:tc>
          <w:tcPr>
            <w:tcW w:type="dxa" w:w="2600"/>
            <w:shd w:fill="FFFFFF" w:color="auto" w:val="clear"/>
            <w:tcMar>
              <w:top w:type="dxa" w:w="60"/>
              <w:left w:type="dxa" w:w="90"/>
              <w:bottom w:type="dxa" w:w="60"/>
              <w:right w:type="dxa" w:w="90"/>
            </w:tcMar>
            <w:vAlign w:val="center"/>
          </w:tcPr>
          <w:p>
            <w:pPr>
              <w:spacing w:after="40" w:line="260"/>
            </w:pPr>
            <w:r>
              <w:rPr>
                <w:color w:val="222222"/>
                <w:sz w:val="19"/>
                <w:szCs w:val="19"/>
              </w:rPr>
              <w:t xml:space="preserve">LLM APIs</w:t>
            </w:r>
          </w:p>
        </w:tc>
        <w:tc>
          <w:tcPr>
            <w:tcW w:type="dxa" w:w="3200"/>
            <w:shd w:fill="FFFFFF" w:color="auto" w:val="clear"/>
            <w:tcMar>
              <w:top w:type="dxa" w:w="60"/>
              <w:left w:type="dxa" w:w="90"/>
              <w:bottom w:type="dxa" w:w="60"/>
              <w:right w:type="dxa" w:w="90"/>
            </w:tcMar>
            <w:vAlign w:val="center"/>
          </w:tcPr>
          <w:p>
            <w:pPr>
              <w:spacing w:after="40" w:line="260"/>
            </w:pPr>
            <w:r>
              <w:rPr>
                <w:color w:val="222222"/>
                <w:sz w:val="19"/>
                <w:szCs w:val="19"/>
              </w:rPr>
              <w:t xml:space="preserve">OpenAI (GPT-4o) + Claude; Gemini + a small open model for eval comparison</w:t>
            </w:r>
          </w:p>
        </w:tc>
        <w:tc>
          <w:tcPr>
            <w:tcW w:type="dxa" w:w="3560"/>
            <w:shd w:fill="FFFFFF" w:color="auto" w:val="clear"/>
            <w:tcMar>
              <w:top w:type="dxa" w:w="60"/>
              <w:left w:type="dxa" w:w="90"/>
              <w:bottom w:type="dxa" w:w="60"/>
              <w:right w:type="dxa" w:w="90"/>
            </w:tcMar>
            <w:vAlign w:val="center"/>
          </w:tcPr>
          <w:p>
            <w:pPr>
              <w:spacing w:after="40" w:line="260"/>
            </w:pPr>
            <w:r>
              <w:rPr>
                <w:color w:val="222222"/>
                <w:sz w:val="19"/>
                <w:szCs w:val="19"/>
              </w:rPr>
              <w:t xml:space="preserve">Route by task; add fallback + caching</w:t>
            </w:r>
          </w:p>
        </w:tc>
      </w:tr>
      <w:tr>
        <w:tc>
          <w:tcPr>
            <w:tcW w:type="dxa" w:w="2600"/>
            <w:shd w:fill="EAF1FA" w:color="auto" w:val="clear"/>
            <w:tcMar>
              <w:top w:type="dxa" w:w="60"/>
              <w:left w:type="dxa" w:w="90"/>
              <w:bottom w:type="dxa" w:w="60"/>
              <w:right w:type="dxa" w:w="90"/>
            </w:tcMar>
            <w:vAlign w:val="center"/>
          </w:tcPr>
          <w:p>
            <w:pPr>
              <w:spacing w:after="40" w:line="260"/>
            </w:pPr>
            <w:r>
              <w:rPr>
                <w:color w:val="222222"/>
                <w:sz w:val="19"/>
                <w:szCs w:val="19"/>
              </w:rPr>
              <w:t xml:space="preserve">Vector DB</w:t>
            </w:r>
          </w:p>
        </w:tc>
        <w:tc>
          <w:tcPr>
            <w:tcW w:type="dxa" w:w="3200"/>
            <w:shd w:fill="EAF1FA" w:color="auto" w:val="clear"/>
            <w:tcMar>
              <w:top w:type="dxa" w:w="60"/>
              <w:left w:type="dxa" w:w="90"/>
              <w:bottom w:type="dxa" w:w="60"/>
              <w:right w:type="dxa" w:w="90"/>
            </w:tcMar>
            <w:vAlign w:val="center"/>
          </w:tcPr>
          <w:p>
            <w:pPr>
              <w:spacing w:after="40" w:line="260"/>
            </w:pPr>
            <w:r>
              <w:rPr>
                <w:color w:val="222222"/>
                <w:sz w:val="19"/>
                <w:szCs w:val="19"/>
              </w:rPr>
              <w:t xml:space="preserve">Chroma or FAISS (local), or pgvector</w:t>
            </w:r>
          </w:p>
        </w:tc>
        <w:tc>
          <w:tcPr>
            <w:tcW w:type="dxa" w:w="3560"/>
            <w:shd w:fill="EAF1FA" w:color="auto" w:val="clear"/>
            <w:tcMar>
              <w:top w:type="dxa" w:w="60"/>
              <w:left w:type="dxa" w:w="90"/>
              <w:bottom w:type="dxa" w:w="60"/>
              <w:right w:type="dxa" w:w="90"/>
            </w:tcMar>
            <w:vAlign w:val="center"/>
          </w:tcPr>
          <w:p>
            <w:pPr>
              <w:spacing w:after="40" w:line="260"/>
            </w:pPr>
            <w:r>
              <w:rPr>
                <w:color w:val="222222"/>
                <w:sz w:val="19"/>
                <w:szCs w:val="19"/>
              </w:rPr>
              <w:t xml:space="preserve">Pinecone / Qdrant / Weaviate (managed, scalable)</w:t>
            </w:r>
          </w:p>
        </w:tc>
      </w:tr>
      <w:tr>
        <w:tc>
          <w:tcPr>
            <w:tcW w:type="dxa" w:w="2600"/>
            <w:shd w:fill="FFFFFF" w:color="auto" w:val="clear"/>
            <w:tcMar>
              <w:top w:type="dxa" w:w="60"/>
              <w:left w:type="dxa" w:w="90"/>
              <w:bottom w:type="dxa" w:w="60"/>
              <w:right w:type="dxa" w:w="90"/>
            </w:tcMar>
            <w:vAlign w:val="center"/>
          </w:tcPr>
          <w:p>
            <w:pPr>
              <w:spacing w:after="40" w:line="260"/>
            </w:pPr>
            <w:r>
              <w:rPr>
                <w:color w:val="222222"/>
                <w:sz w:val="19"/>
                <w:szCs w:val="19"/>
              </w:rPr>
              <w:t xml:space="preserve">Reranking</w:t>
            </w:r>
          </w:p>
        </w:tc>
        <w:tc>
          <w:tcPr>
            <w:tcW w:type="dxa" w:w="3200"/>
            <w:shd w:fill="FFFFFF" w:color="auto" w:val="clear"/>
            <w:tcMar>
              <w:top w:type="dxa" w:w="60"/>
              <w:left w:type="dxa" w:w="90"/>
              <w:bottom w:type="dxa" w:w="60"/>
              <w:right w:type="dxa" w:w="90"/>
            </w:tcMar>
            <w:vAlign w:val="center"/>
          </w:tcPr>
          <w:p>
            <w:pPr>
              <w:spacing w:after="40" w:line="260"/>
            </w:pPr>
            <w:r>
              <w:rPr>
                <w:color w:val="222222"/>
                <w:sz w:val="19"/>
                <w:szCs w:val="19"/>
              </w:rPr>
              <w:t xml:space="preserve">Skip at first; add later</w:t>
            </w:r>
          </w:p>
        </w:tc>
        <w:tc>
          <w:tcPr>
            <w:tcW w:type="dxa" w:w="3560"/>
            <w:shd w:fill="FFFFFF" w:color="auto" w:val="clear"/>
            <w:tcMar>
              <w:top w:type="dxa" w:w="60"/>
              <w:left w:type="dxa" w:w="90"/>
              <w:bottom w:type="dxa" w:w="60"/>
              <w:right w:type="dxa" w:w="90"/>
            </w:tcMar>
            <w:vAlign w:val="center"/>
          </w:tcPr>
          <w:p>
            <w:pPr>
              <w:spacing w:after="40" w:line="260"/>
            </w:pPr>
            <w:r>
              <w:rPr>
                <w:color w:val="222222"/>
                <w:sz w:val="19"/>
                <w:szCs w:val="19"/>
              </w:rPr>
              <w:t xml:space="preserve">Cohere Rerank for retrieval precision</w:t>
            </w:r>
          </w:p>
        </w:tc>
      </w:tr>
      <w:tr>
        <w:tc>
          <w:tcPr>
            <w:tcW w:type="dxa" w:w="2600"/>
            <w:shd w:fill="EAF1FA" w:color="auto" w:val="clear"/>
            <w:tcMar>
              <w:top w:type="dxa" w:w="60"/>
              <w:left w:type="dxa" w:w="90"/>
              <w:bottom w:type="dxa" w:w="60"/>
              <w:right w:type="dxa" w:w="90"/>
            </w:tcMar>
            <w:vAlign w:val="center"/>
          </w:tcPr>
          <w:p>
            <w:pPr>
              <w:spacing w:after="40" w:line="260"/>
            </w:pPr>
            <w:r>
              <w:rPr>
                <w:color w:val="222222"/>
                <w:sz w:val="19"/>
                <w:szCs w:val="19"/>
              </w:rPr>
              <w:t xml:space="preserve">Evaluation</w:t>
            </w:r>
          </w:p>
        </w:tc>
        <w:tc>
          <w:tcPr>
            <w:tcW w:type="dxa" w:w="3200"/>
            <w:shd w:fill="EAF1FA" w:color="auto" w:val="clear"/>
            <w:tcMar>
              <w:top w:type="dxa" w:w="60"/>
              <w:left w:type="dxa" w:w="90"/>
              <w:bottom w:type="dxa" w:w="60"/>
              <w:right w:type="dxa" w:w="90"/>
            </w:tcMar>
            <w:vAlign w:val="center"/>
          </w:tcPr>
          <w:p>
            <w:pPr>
              <w:spacing w:after="40" w:line="260"/>
            </w:pPr>
            <w:r>
              <w:rPr>
                <w:color w:val="222222"/>
                <w:sz w:val="19"/>
                <w:szCs w:val="19"/>
              </w:rPr>
              <w:t xml:space="preserve">RAGAS + LangSmith datasets; custom LLM-as-judge</w:t>
            </w:r>
          </w:p>
        </w:tc>
        <w:tc>
          <w:tcPr>
            <w:tcW w:type="dxa" w:w="3560"/>
            <w:shd w:fill="EAF1FA" w:color="auto" w:val="clear"/>
            <w:tcMar>
              <w:top w:type="dxa" w:w="60"/>
              <w:left w:type="dxa" w:w="90"/>
              <w:bottom w:type="dxa" w:w="60"/>
              <w:right w:type="dxa" w:w="90"/>
            </w:tcMar>
            <w:vAlign w:val="center"/>
          </w:tcPr>
          <w:p>
            <w:pPr>
              <w:spacing w:after="40" w:line="260"/>
            </w:pPr>
            <w:r>
              <w:rPr>
                <w:color w:val="222222"/>
                <w:sz w:val="19"/>
                <w:szCs w:val="19"/>
              </w:rPr>
              <w:t xml:space="preserve">CI-gated evals; regression alerts</w:t>
            </w:r>
          </w:p>
        </w:tc>
      </w:tr>
      <w:tr>
        <w:tc>
          <w:tcPr>
            <w:tcW w:type="dxa" w:w="2600"/>
            <w:shd w:fill="FFFFFF" w:color="auto" w:val="clear"/>
            <w:tcMar>
              <w:top w:type="dxa" w:w="60"/>
              <w:left w:type="dxa" w:w="90"/>
              <w:bottom w:type="dxa" w:w="60"/>
              <w:right w:type="dxa" w:w="90"/>
            </w:tcMar>
            <w:vAlign w:val="center"/>
          </w:tcPr>
          <w:p>
            <w:pPr>
              <w:spacing w:after="40" w:line="260"/>
            </w:pPr>
            <w:r>
              <w:rPr>
                <w:color w:val="222222"/>
                <w:sz w:val="19"/>
                <w:szCs w:val="19"/>
              </w:rPr>
              <w:t xml:space="preserve">Observability / cost</w:t>
            </w:r>
          </w:p>
        </w:tc>
        <w:tc>
          <w:tcPr>
            <w:tcW w:type="dxa" w:w="3200"/>
            <w:shd w:fill="FFFFFF" w:color="auto" w:val="clear"/>
            <w:tcMar>
              <w:top w:type="dxa" w:w="60"/>
              <w:left w:type="dxa" w:w="90"/>
              <w:bottom w:type="dxa" w:w="60"/>
              <w:right w:type="dxa" w:w="90"/>
            </w:tcMar>
            <w:vAlign w:val="center"/>
          </w:tcPr>
          <w:p>
            <w:pPr>
              <w:spacing w:after="40" w:line="260"/>
            </w:pPr>
            <w:r>
              <w:rPr>
                <w:color w:val="222222"/>
                <w:sz w:val="19"/>
                <w:szCs w:val="19"/>
              </w:rPr>
              <w:t xml:space="preserve">LangSmith tracing</w:t>
            </w:r>
          </w:p>
        </w:tc>
        <w:tc>
          <w:tcPr>
            <w:tcW w:type="dxa" w:w="3560"/>
            <w:shd w:fill="FFFFFF" w:color="auto" w:val="clear"/>
            <w:tcMar>
              <w:top w:type="dxa" w:w="60"/>
              <w:left w:type="dxa" w:w="90"/>
              <w:bottom w:type="dxa" w:w="60"/>
              <w:right w:type="dxa" w:w="90"/>
            </w:tcMar>
            <w:vAlign w:val="center"/>
          </w:tcPr>
          <w:p>
            <w:pPr>
              <w:spacing w:after="40" w:line="260"/>
            </w:pPr>
            <w:r>
              <w:rPr>
                <w:color w:val="222222"/>
                <w:sz w:val="19"/>
                <w:szCs w:val="19"/>
              </w:rPr>
              <w:t xml:space="preserve">Add dashboards, per-tenant cost tracking</w:t>
            </w:r>
          </w:p>
        </w:tc>
      </w:tr>
      <w:tr>
        <w:tc>
          <w:tcPr>
            <w:tcW w:type="dxa" w:w="2600"/>
            <w:shd w:fill="EAF1FA" w:color="auto" w:val="clear"/>
            <w:tcMar>
              <w:top w:type="dxa" w:w="60"/>
              <w:left w:type="dxa" w:w="90"/>
              <w:bottom w:type="dxa" w:w="60"/>
              <w:right w:type="dxa" w:w="90"/>
            </w:tcMar>
            <w:vAlign w:val="center"/>
          </w:tcPr>
          <w:p>
            <w:pPr>
              <w:spacing w:after="40" w:line="260"/>
            </w:pPr>
            <w:r>
              <w:rPr>
                <w:color w:val="222222"/>
                <w:sz w:val="19"/>
                <w:szCs w:val="19"/>
              </w:rPr>
              <w:t xml:space="preserve">Data ingestion</w:t>
            </w:r>
          </w:p>
        </w:tc>
        <w:tc>
          <w:tcPr>
            <w:tcW w:type="dxa" w:w="3200"/>
            <w:shd w:fill="EAF1FA" w:color="auto" w:val="clear"/>
            <w:tcMar>
              <w:top w:type="dxa" w:w="60"/>
              <w:left w:type="dxa" w:w="90"/>
              <w:bottom w:type="dxa" w:w="60"/>
              <w:right w:type="dxa" w:w="90"/>
            </w:tcMar>
            <w:vAlign w:val="center"/>
          </w:tcPr>
          <w:p>
            <w:pPr>
              <w:spacing w:after="40" w:line="260"/>
            </w:pPr>
            <w:r>
              <w:rPr>
                <w:color w:val="222222"/>
                <w:sz w:val="19"/>
                <w:szCs w:val="19"/>
              </w:rPr>
              <w:t xml:space="preserve">Scheduled Python jobs; news + NVD/CVE + CERT-In feeds</w:t>
            </w:r>
          </w:p>
        </w:tc>
        <w:tc>
          <w:tcPr>
            <w:tcW w:type="dxa" w:w="3560"/>
            <w:shd w:fill="EAF1FA" w:color="auto" w:val="clear"/>
            <w:tcMar>
              <w:top w:type="dxa" w:w="60"/>
              <w:left w:type="dxa" w:w="90"/>
              <w:bottom w:type="dxa" w:w="60"/>
              <w:right w:type="dxa" w:w="90"/>
            </w:tcMar>
            <w:vAlign w:val="center"/>
          </w:tcPr>
          <w:p>
            <w:pPr>
              <w:spacing w:after="40" w:line="260"/>
            </w:pPr>
            <w:r>
              <w:rPr>
                <w:color w:val="222222"/>
                <w:sz w:val="19"/>
                <w:szCs w:val="19"/>
              </w:rPr>
              <w:t xml:space="preserve">Queue-based workers, retries, dedup service</w:t>
            </w:r>
          </w:p>
        </w:tc>
      </w:tr>
      <w:tr>
        <w:tc>
          <w:tcPr>
            <w:tcW w:type="dxa" w:w="2600"/>
            <w:shd w:fill="FFFFFF" w:color="auto" w:val="clear"/>
            <w:tcMar>
              <w:top w:type="dxa" w:w="60"/>
              <w:left w:type="dxa" w:w="90"/>
              <w:bottom w:type="dxa" w:w="60"/>
              <w:right w:type="dxa" w:w="90"/>
            </w:tcMar>
            <w:vAlign w:val="center"/>
          </w:tcPr>
          <w:p>
            <w:pPr>
              <w:spacing w:after="40" w:line="260"/>
            </w:pPr>
            <w:r>
              <w:rPr>
                <w:color w:val="222222"/>
                <w:sz w:val="19"/>
                <w:szCs w:val="19"/>
              </w:rPr>
              <w:t xml:space="preserve">Delivery</w:t>
            </w:r>
          </w:p>
        </w:tc>
        <w:tc>
          <w:tcPr>
            <w:tcW w:type="dxa" w:w="3200"/>
            <w:shd w:fill="FFFFFF" w:color="auto" w:val="clear"/>
            <w:tcMar>
              <w:top w:type="dxa" w:w="60"/>
              <w:left w:type="dxa" w:w="90"/>
              <w:bottom w:type="dxa" w:w="60"/>
              <w:right w:type="dxa" w:w="90"/>
            </w:tcMar>
            <w:vAlign w:val="center"/>
          </w:tcPr>
          <w:p>
            <w:pPr>
              <w:spacing w:after="40" w:line="260"/>
            </w:pPr>
            <w:r>
              <w:rPr>
                <w:color w:val="222222"/>
                <w:sz w:val="19"/>
                <w:szCs w:val="19"/>
              </w:rPr>
              <w:t xml:space="preserve">Slack bot (Bolt) or Telegram bot</w:t>
            </w:r>
          </w:p>
        </w:tc>
        <w:tc>
          <w:tcPr>
            <w:tcW w:type="dxa" w:w="3560"/>
            <w:shd w:fill="FFFFFF" w:color="auto" w:val="clear"/>
            <w:tcMar>
              <w:top w:type="dxa" w:w="60"/>
              <w:left w:type="dxa" w:w="90"/>
              <w:bottom w:type="dxa" w:w="60"/>
              <w:right w:type="dxa" w:w="90"/>
            </w:tcMar>
            <w:vAlign w:val="center"/>
          </w:tcPr>
          <w:p>
            <w:pPr>
              <w:spacing w:after="40" w:line="260"/>
            </w:pPr>
            <w:r>
              <w:rPr>
                <w:color w:val="222222"/>
                <w:sz w:val="19"/>
                <w:szCs w:val="19"/>
              </w:rPr>
              <w:t xml:space="preserve">Calendar-triggered push, per-user prefs</w:t>
            </w:r>
          </w:p>
        </w:tc>
      </w:tr>
      <w:tr>
        <w:tc>
          <w:tcPr>
            <w:tcW w:type="dxa" w:w="2600"/>
            <w:shd w:fill="EAF1FA" w:color="auto" w:val="clear"/>
            <w:tcMar>
              <w:top w:type="dxa" w:w="60"/>
              <w:left w:type="dxa" w:w="90"/>
              <w:bottom w:type="dxa" w:w="60"/>
              <w:right w:type="dxa" w:w="90"/>
            </w:tcMar>
            <w:vAlign w:val="center"/>
          </w:tcPr>
          <w:p>
            <w:pPr>
              <w:spacing w:after="40" w:line="260"/>
            </w:pPr>
            <w:r>
              <w:rPr>
                <w:color w:val="222222"/>
                <w:sz w:val="19"/>
                <w:szCs w:val="19"/>
              </w:rPr>
              <w:t xml:space="preserve">Deploy</w:t>
            </w:r>
          </w:p>
        </w:tc>
        <w:tc>
          <w:tcPr>
            <w:tcW w:type="dxa" w:w="3200"/>
            <w:shd w:fill="EAF1FA" w:color="auto" w:val="clear"/>
            <w:tcMar>
              <w:top w:type="dxa" w:w="60"/>
              <w:left w:type="dxa" w:w="90"/>
              <w:bottom w:type="dxa" w:w="60"/>
              <w:right w:type="dxa" w:w="90"/>
            </w:tcMar>
            <w:vAlign w:val="center"/>
          </w:tcPr>
          <w:p>
            <w:pPr>
              <w:spacing w:after="40" w:line="260"/>
            </w:pPr>
            <w:r>
              <w:rPr>
                <w:color w:val="222222"/>
                <w:sz w:val="19"/>
                <w:szCs w:val="19"/>
              </w:rPr>
              <w:t xml:space="preserve">Render / Railway / Fly.io + a small Postgres</w:t>
            </w:r>
          </w:p>
        </w:tc>
        <w:tc>
          <w:tcPr>
            <w:tcW w:type="dxa" w:w="3560"/>
            <w:shd w:fill="EAF1FA" w:color="auto" w:val="clear"/>
            <w:tcMar>
              <w:top w:type="dxa" w:w="60"/>
              <w:left w:type="dxa" w:w="90"/>
              <w:bottom w:type="dxa" w:w="60"/>
              <w:right w:type="dxa" w:w="90"/>
            </w:tcMar>
            <w:vAlign w:val="center"/>
          </w:tcPr>
          <w:p>
            <w:pPr>
              <w:spacing w:after="40" w:line="260"/>
            </w:pPr>
            <w:r>
              <w:rPr>
                <w:color w:val="222222"/>
                <w:sz w:val="19"/>
                <w:szCs w:val="19"/>
              </w:rPr>
              <w:t xml:space="preserve">Containerised, IaC, monitoring</w:t>
            </w:r>
          </w:p>
        </w:tc>
      </w:tr>
    </w:tbl>
    <w:p>
      <w:pPr>
        <w:spacing w:after="60"/>
      </w:pPr>
    </w:p>
    <w:p>
      <w:pPr>
        <w:spacing w:after="60" w:line="276"/>
      </w:pPr>
      <w:r>
        <w:rPr>
          <w:b/>
          <w:bCs/>
          <w:color w:val="222222"/>
          <w:sz w:val="22"/>
          <w:szCs w:val="22"/>
        </w:rPr>
        <w:t xml:space="preserve">Scope discipline: </w:t>
      </w:r>
      <w:r>
        <w:rPr>
          <w:color w:val="222222"/>
          <w:sz w:val="22"/>
          <w:szCs w:val="22"/>
        </w:rPr>
        <w:t xml:space="preserve">For 3 months, pick ONE target vertical (e.g. Indian mid-market firms) and 20–30 tracked companies. Depth beats breadth — a narrow product with real evals is far more hireable than a broad one with none.</w:t>
      </w:r>
    </w:p>
    <w:p>
      <w:r>
        <w:br w:type="page"/>
      </w:r>
    </w:p>
    <w:p>
      <w:pPr>
        <w:pStyle w:val="Heading1"/>
        <w:spacing w:after="140" w:before="320"/>
      </w:pPr>
      <w:r>
        <w:rPr>
          <w:b/>
          <w:bCs/>
          <w:color w:val="1F3B63"/>
          <w:sz w:val="30"/>
          <w:szCs w:val="30"/>
        </w:rPr>
        <w:t xml:space="preserve">5.  The 12-week roadmap</w:t>
      </w:r>
    </w:p>
    <w:p>
      <w:pPr>
        <w:spacing w:after="120" w:line="276"/>
      </w:pPr>
      <w:r>
        <w:rPr>
          <w:color w:val="222222"/>
          <w:sz w:val="22"/>
          <w:szCs w:val="22"/>
        </w:rPr>
        <w:t xml:space="preserve">Assumes ~15–20 focused hours/week from a 'some coding' baseline. Each phase ends with a shippable artifact. If time is tight, protect Phase 3 (evaluation) above all — it is the highest-value skill and the hardest to fake.</w:t>
      </w:r>
    </w:p>
    <w:p>
      <w:pPr>
        <w:pStyle w:val="Heading2"/>
        <w:spacing w:after="100" w:before="220"/>
      </w:pPr>
      <w:r>
        <w:rPr>
          <w:b/>
          <w:bCs/>
          <w:color w:val="2E6CB5"/>
          <w:sz w:val="26"/>
          <w:szCs w:val="26"/>
        </w:rPr>
        <w:t xml:space="preserve">Phase 1 · Weeks 1–3 — Foundations + a thin vertical slice</w:t>
      </w:r>
    </w:p>
    <w:p>
      <w:pPr>
        <w:spacing w:after="120" w:line="276"/>
      </w:pPr>
      <w:r>
        <w:rPr>
          <w:color w:val="555555"/>
          <w:sz w:val="22"/>
          <w:szCs w:val="22"/>
        </w:rPr>
        <w:t xml:space="preserve">Goal: a working, deployed brief generator using hardcoded/sample signals. Prove you can ship end-to-end before adding complexity.</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1000"/>
        <w:gridCol w:w="4180"/>
        <w:gridCol w:w="4180"/>
      </w:tblGrid>
      <w:tr>
        <w:tc>
          <w:tcPr>
            <w:tcW w:type="dxa" w:w="1000"/>
            <w:shd w:fill="1F3B63" w:color="auto" w:val="clear"/>
            <w:tcMar>
              <w:top w:type="dxa" w:w="60"/>
              <w:left w:type="dxa" w:w="90"/>
              <w:bottom w:type="dxa" w:w="60"/>
              <w:right w:type="dxa" w:w="90"/>
            </w:tcMar>
          </w:tcPr>
          <w:p>
            <w:pPr>
              <w:spacing w:after="40" w:line="260"/>
            </w:pPr>
            <w:r>
              <w:rPr>
                <w:b/>
                <w:bCs/>
                <w:color w:val="FFFFFF"/>
                <w:sz w:val="19"/>
                <w:szCs w:val="19"/>
              </w:rPr>
              <w:t xml:space="preserve">Week</w:t>
            </w:r>
          </w:p>
        </w:tc>
        <w:tc>
          <w:tcPr>
            <w:tcW w:type="dxa" w:w="4180"/>
            <w:shd w:fill="1F3B63" w:color="auto" w:val="clear"/>
            <w:tcMar>
              <w:top w:type="dxa" w:w="60"/>
              <w:left w:type="dxa" w:w="90"/>
              <w:bottom w:type="dxa" w:w="60"/>
              <w:right w:type="dxa" w:w="90"/>
            </w:tcMar>
          </w:tcPr>
          <w:p>
            <w:pPr>
              <w:spacing w:after="40" w:line="260"/>
            </w:pPr>
            <w:r>
              <w:rPr>
                <w:b/>
                <w:bCs/>
                <w:color w:val="FFFFFF"/>
                <w:sz w:val="19"/>
                <w:szCs w:val="19"/>
              </w:rPr>
              <w:t xml:space="preserve">Skill focus</w:t>
            </w:r>
          </w:p>
        </w:tc>
        <w:tc>
          <w:tcPr>
            <w:tcW w:type="dxa" w:w="4180"/>
            <w:shd w:fill="1F3B63" w:color="auto" w:val="clear"/>
            <w:tcMar>
              <w:top w:type="dxa" w:w="60"/>
              <w:left w:type="dxa" w:w="90"/>
              <w:bottom w:type="dxa" w:w="60"/>
              <w:right w:type="dxa" w:w="90"/>
            </w:tcMar>
          </w:tcPr>
          <w:p>
            <w:pPr>
              <w:spacing w:after="40" w:line="260"/>
            </w:pPr>
            <w:r>
              <w:rPr>
                <w:b/>
                <w:bCs/>
                <w:color w:val="FFFFFF"/>
                <w:sz w:val="19"/>
                <w:szCs w:val="19"/>
              </w:rPr>
              <w:t xml:space="preserve">Build milestone / artifact</w:t>
            </w:r>
          </w:p>
        </w:tc>
      </w:tr>
      <w:tr>
        <w:tc>
          <w:tcPr>
            <w:tcW w:type="dxa" w:w="1000"/>
            <w:shd w:fill="FFFFFF" w:color="auto" w:val="clear"/>
            <w:tcMar>
              <w:top w:type="dxa" w:w="60"/>
              <w:left w:type="dxa" w:w="90"/>
              <w:bottom w:type="dxa" w:w="60"/>
              <w:right w:type="dxa" w:w="90"/>
            </w:tcMar>
            <w:vAlign w:val="center"/>
          </w:tcPr>
          <w:p>
            <w:pPr>
              <w:spacing w:after="40" w:line="260"/>
            </w:pPr>
            <w:r>
              <w:rPr>
                <w:color w:val="222222"/>
                <w:sz w:val="19"/>
                <w:szCs w:val="19"/>
              </w:rPr>
              <w:t xml:space="preserve">1</w:t>
            </w:r>
          </w:p>
        </w:tc>
        <w:tc>
          <w:tcPr>
            <w:tcW w:type="dxa" w:w="4180"/>
            <w:shd w:fill="FFFFFF" w:color="auto" w:val="clear"/>
            <w:tcMar>
              <w:top w:type="dxa" w:w="60"/>
              <w:left w:type="dxa" w:w="90"/>
              <w:bottom w:type="dxa" w:w="60"/>
              <w:right w:type="dxa" w:w="90"/>
            </w:tcMar>
            <w:vAlign w:val="center"/>
          </w:tcPr>
          <w:p>
            <w:pPr>
              <w:spacing w:after="40" w:line="260"/>
            </w:pPr>
            <w:r>
              <w:rPr>
                <w:color w:val="222222"/>
                <w:sz w:val="19"/>
                <w:szCs w:val="19"/>
              </w:rPr>
              <w:t xml:space="preserve">LLM API fundamentals, prompting, structured outputs</w:t>
            </w:r>
          </w:p>
        </w:tc>
        <w:tc>
          <w:tcPr>
            <w:tcW w:type="dxa" w:w="4180"/>
            <w:shd w:fill="FFFFFF" w:color="auto" w:val="clear"/>
            <w:tcMar>
              <w:top w:type="dxa" w:w="60"/>
              <w:left w:type="dxa" w:w="90"/>
              <w:bottom w:type="dxa" w:w="60"/>
              <w:right w:type="dxa" w:w="90"/>
            </w:tcMar>
            <w:vAlign w:val="center"/>
          </w:tcPr>
          <w:p>
            <w:pPr>
              <w:spacing w:after="40" w:line="260"/>
            </w:pPr>
            <w:r>
              <w:rPr>
                <w:color w:val="222222"/>
                <w:sz w:val="19"/>
                <w:szCs w:val="19"/>
              </w:rPr>
              <w:t xml:space="preserve">Call GPT-4o/Claude from Python; generate a brief (3 bullets + opener + 3 questions) from a pasted company blurb</w:t>
            </w:r>
          </w:p>
        </w:tc>
      </w:tr>
      <w:tr>
        <w:tc>
          <w:tcPr>
            <w:tcW w:type="dxa" w:w="1000"/>
            <w:shd w:fill="EAF1FA" w:color="auto" w:val="clear"/>
            <w:tcMar>
              <w:top w:type="dxa" w:w="60"/>
              <w:left w:type="dxa" w:w="90"/>
              <w:bottom w:type="dxa" w:w="60"/>
              <w:right w:type="dxa" w:w="90"/>
            </w:tcMar>
            <w:vAlign w:val="center"/>
          </w:tcPr>
          <w:p>
            <w:pPr>
              <w:spacing w:after="40" w:line="260"/>
            </w:pPr>
            <w:r>
              <w:rPr>
                <w:color w:val="222222"/>
                <w:sz w:val="19"/>
                <w:szCs w:val="19"/>
              </w:rPr>
              <w:t xml:space="preserve">2</w:t>
            </w:r>
          </w:p>
        </w:tc>
        <w:tc>
          <w:tcPr>
            <w:tcW w:type="dxa" w:w="4180"/>
            <w:shd w:fill="EAF1FA" w:color="auto" w:val="clear"/>
            <w:tcMar>
              <w:top w:type="dxa" w:w="60"/>
              <w:left w:type="dxa" w:w="90"/>
              <w:bottom w:type="dxa" w:w="60"/>
              <w:right w:type="dxa" w:w="90"/>
            </w:tcMar>
            <w:vAlign w:val="center"/>
          </w:tcPr>
          <w:p>
            <w:pPr>
              <w:spacing w:after="40" w:line="260"/>
            </w:pPr>
            <w:r>
              <w:rPr>
                <w:color w:val="222222"/>
                <w:sz w:val="19"/>
                <w:szCs w:val="19"/>
              </w:rPr>
              <w:t xml:space="preserve">Prompt engineering, guardrails, JSON schema outputs</w:t>
            </w:r>
          </w:p>
        </w:tc>
        <w:tc>
          <w:tcPr>
            <w:tcW w:type="dxa" w:w="4180"/>
            <w:shd w:fill="EAF1FA" w:color="auto" w:val="clear"/>
            <w:tcMar>
              <w:top w:type="dxa" w:w="60"/>
              <w:left w:type="dxa" w:w="90"/>
              <w:bottom w:type="dxa" w:w="60"/>
              <w:right w:type="dxa" w:w="90"/>
            </w:tcMar>
            <w:vAlign w:val="center"/>
          </w:tcPr>
          <w:p>
            <w:pPr>
              <w:spacing w:after="40" w:line="260"/>
            </w:pPr>
            <w:r>
              <w:rPr>
                <w:color w:val="222222"/>
                <w:sz w:val="19"/>
                <w:szCs w:val="19"/>
              </w:rPr>
              <w:t xml:space="preserve">Reliable structured output with validation; handle refusals/hallucination gracefully</w:t>
            </w:r>
          </w:p>
        </w:tc>
      </w:tr>
      <w:tr>
        <w:tc>
          <w:tcPr>
            <w:tcW w:type="dxa" w:w="1000"/>
            <w:shd w:fill="FFFFFF" w:color="auto" w:val="clear"/>
            <w:tcMar>
              <w:top w:type="dxa" w:w="60"/>
              <w:left w:type="dxa" w:w="90"/>
              <w:bottom w:type="dxa" w:w="60"/>
              <w:right w:type="dxa" w:w="90"/>
            </w:tcMar>
            <w:vAlign w:val="center"/>
          </w:tcPr>
          <w:p>
            <w:pPr>
              <w:spacing w:after="40" w:line="260"/>
            </w:pPr>
            <w:r>
              <w:rPr>
                <w:color w:val="222222"/>
                <w:sz w:val="19"/>
                <w:szCs w:val="19"/>
              </w:rPr>
              <w:t xml:space="preserve">3</w:t>
            </w:r>
          </w:p>
        </w:tc>
        <w:tc>
          <w:tcPr>
            <w:tcW w:type="dxa" w:w="4180"/>
            <w:shd w:fill="FFFFFF" w:color="auto" w:val="clear"/>
            <w:tcMar>
              <w:top w:type="dxa" w:w="60"/>
              <w:left w:type="dxa" w:w="90"/>
              <w:bottom w:type="dxa" w:w="60"/>
              <w:right w:type="dxa" w:w="90"/>
            </w:tcMar>
            <w:vAlign w:val="center"/>
          </w:tcPr>
          <w:p>
            <w:pPr>
              <w:spacing w:after="40" w:line="260"/>
            </w:pPr>
            <w:r>
              <w:rPr>
                <w:color w:val="222222"/>
                <w:sz w:val="19"/>
                <w:szCs w:val="19"/>
              </w:rPr>
              <w:t xml:space="preserve">Basic deployment, Git hygiene</w:t>
            </w:r>
          </w:p>
        </w:tc>
        <w:tc>
          <w:tcPr>
            <w:tcW w:type="dxa" w:w="4180"/>
            <w:shd w:fill="FFFFFF" w:color="auto" w:val="clear"/>
            <w:tcMar>
              <w:top w:type="dxa" w:w="60"/>
              <w:left w:type="dxa" w:w="90"/>
              <w:bottom w:type="dxa" w:w="60"/>
              <w:right w:type="dxa" w:w="90"/>
            </w:tcMar>
            <w:vAlign w:val="center"/>
          </w:tcPr>
          <w:p>
            <w:pPr>
              <w:spacing w:after="40" w:line="260"/>
            </w:pPr>
            <w:r>
              <w:rPr>
                <w:color w:val="222222"/>
                <w:sz w:val="19"/>
                <w:szCs w:val="19"/>
              </w:rPr>
              <w:t xml:space="preserve">Deploy a minimal web/Slack demo; public repo with README + first DECISIONS.md entry</w:t>
            </w:r>
          </w:p>
        </w:tc>
      </w:tr>
    </w:tbl>
    <w:p>
      <w:pPr>
        <w:pStyle w:val="Heading2"/>
        <w:spacing w:after="100" w:before="220"/>
      </w:pPr>
      <w:r>
        <w:rPr>
          <w:b/>
          <w:bCs/>
          <w:color w:val="2E6CB5"/>
          <w:sz w:val="26"/>
          <w:szCs w:val="26"/>
        </w:rPr>
        <w:t xml:space="preserve">Phase 2 · Weeks 4–6 — Real data + RAG</w:t>
      </w:r>
    </w:p>
    <w:p>
      <w:pPr>
        <w:spacing w:after="120" w:line="276"/>
      </w:pPr>
      <w:r>
        <w:rPr>
          <w:color w:val="555555"/>
          <w:sz w:val="22"/>
          <w:szCs w:val="22"/>
        </w:rPr>
        <w:t xml:space="preserve">Goal: replace hardcoded input with live signals, grounded via retrieval.</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1000"/>
        <w:gridCol w:w="4180"/>
        <w:gridCol w:w="4180"/>
      </w:tblGrid>
      <w:tr>
        <w:tc>
          <w:tcPr>
            <w:tcW w:type="dxa" w:w="1000"/>
            <w:shd w:fill="1F3B63" w:color="auto" w:val="clear"/>
            <w:tcMar>
              <w:top w:type="dxa" w:w="60"/>
              <w:left w:type="dxa" w:w="90"/>
              <w:bottom w:type="dxa" w:w="60"/>
              <w:right w:type="dxa" w:w="90"/>
            </w:tcMar>
          </w:tcPr>
          <w:p>
            <w:pPr>
              <w:spacing w:after="40" w:line="260"/>
            </w:pPr>
            <w:r>
              <w:rPr>
                <w:b/>
                <w:bCs/>
                <w:color w:val="FFFFFF"/>
                <w:sz w:val="19"/>
                <w:szCs w:val="19"/>
              </w:rPr>
              <w:t xml:space="preserve">Week</w:t>
            </w:r>
          </w:p>
        </w:tc>
        <w:tc>
          <w:tcPr>
            <w:tcW w:type="dxa" w:w="4180"/>
            <w:shd w:fill="1F3B63" w:color="auto" w:val="clear"/>
            <w:tcMar>
              <w:top w:type="dxa" w:w="60"/>
              <w:left w:type="dxa" w:w="90"/>
              <w:bottom w:type="dxa" w:w="60"/>
              <w:right w:type="dxa" w:w="90"/>
            </w:tcMar>
          </w:tcPr>
          <w:p>
            <w:pPr>
              <w:spacing w:after="40" w:line="260"/>
            </w:pPr>
            <w:r>
              <w:rPr>
                <w:b/>
                <w:bCs/>
                <w:color w:val="FFFFFF"/>
                <w:sz w:val="19"/>
                <w:szCs w:val="19"/>
              </w:rPr>
              <w:t xml:space="preserve">Skill focus</w:t>
            </w:r>
          </w:p>
        </w:tc>
        <w:tc>
          <w:tcPr>
            <w:tcW w:type="dxa" w:w="4180"/>
            <w:shd w:fill="1F3B63" w:color="auto" w:val="clear"/>
            <w:tcMar>
              <w:top w:type="dxa" w:w="60"/>
              <w:left w:type="dxa" w:w="90"/>
              <w:bottom w:type="dxa" w:w="60"/>
              <w:right w:type="dxa" w:w="90"/>
            </w:tcMar>
          </w:tcPr>
          <w:p>
            <w:pPr>
              <w:spacing w:after="40" w:line="260"/>
            </w:pPr>
            <w:r>
              <w:rPr>
                <w:b/>
                <w:bCs/>
                <w:color w:val="FFFFFF"/>
                <w:sz w:val="19"/>
                <w:szCs w:val="19"/>
              </w:rPr>
              <w:t xml:space="preserve">Build milestone / artifact</w:t>
            </w:r>
          </w:p>
        </w:tc>
      </w:tr>
      <w:tr>
        <w:tc>
          <w:tcPr>
            <w:tcW w:type="dxa" w:w="1000"/>
            <w:shd w:fill="FFFFFF" w:color="auto" w:val="clear"/>
            <w:tcMar>
              <w:top w:type="dxa" w:w="60"/>
              <w:left w:type="dxa" w:w="90"/>
              <w:bottom w:type="dxa" w:w="60"/>
              <w:right w:type="dxa" w:w="90"/>
            </w:tcMar>
            <w:vAlign w:val="center"/>
          </w:tcPr>
          <w:p>
            <w:pPr>
              <w:spacing w:after="40" w:line="260"/>
            </w:pPr>
            <w:r>
              <w:rPr>
                <w:color w:val="222222"/>
                <w:sz w:val="19"/>
                <w:szCs w:val="19"/>
              </w:rPr>
              <w:t xml:space="preserve">4</w:t>
            </w:r>
          </w:p>
        </w:tc>
        <w:tc>
          <w:tcPr>
            <w:tcW w:type="dxa" w:w="4180"/>
            <w:shd w:fill="FFFFFF" w:color="auto" w:val="clear"/>
            <w:tcMar>
              <w:top w:type="dxa" w:w="60"/>
              <w:left w:type="dxa" w:w="90"/>
              <w:bottom w:type="dxa" w:w="60"/>
              <w:right w:type="dxa" w:w="90"/>
            </w:tcMar>
            <w:vAlign w:val="center"/>
          </w:tcPr>
          <w:p>
            <w:pPr>
              <w:spacing w:after="40" w:line="260"/>
            </w:pPr>
            <w:r>
              <w:rPr>
                <w:color w:val="222222"/>
                <w:sz w:val="19"/>
                <w:szCs w:val="19"/>
              </w:rPr>
              <w:t xml:space="preserve">Data ingestion, APIs, normalisation</w:t>
            </w:r>
          </w:p>
        </w:tc>
        <w:tc>
          <w:tcPr>
            <w:tcW w:type="dxa" w:w="4180"/>
            <w:shd w:fill="FFFFFF" w:color="auto" w:val="clear"/>
            <w:tcMar>
              <w:top w:type="dxa" w:w="60"/>
              <w:left w:type="dxa" w:w="90"/>
              <w:bottom w:type="dxa" w:w="60"/>
              <w:right w:type="dxa" w:w="90"/>
            </w:tcMar>
            <w:vAlign w:val="center"/>
          </w:tcPr>
          <w:p>
            <w:pPr>
              <w:spacing w:after="40" w:line="260"/>
            </w:pPr>
            <w:r>
              <w:rPr>
                <w:color w:val="222222"/>
                <w:sz w:val="19"/>
                <w:szCs w:val="19"/>
              </w:rPr>
              <w:t xml:space="preserve">Ingest news + CVE/NVD + CERT-In for 20–30 target companies into Postgres; dedupe</w:t>
            </w:r>
          </w:p>
        </w:tc>
      </w:tr>
      <w:tr>
        <w:tc>
          <w:tcPr>
            <w:tcW w:type="dxa" w:w="1000"/>
            <w:shd w:fill="EAF1FA" w:color="auto" w:val="clear"/>
            <w:tcMar>
              <w:top w:type="dxa" w:w="60"/>
              <w:left w:type="dxa" w:w="90"/>
              <w:bottom w:type="dxa" w:w="60"/>
              <w:right w:type="dxa" w:w="90"/>
            </w:tcMar>
            <w:vAlign w:val="center"/>
          </w:tcPr>
          <w:p>
            <w:pPr>
              <w:spacing w:after="40" w:line="260"/>
            </w:pPr>
            <w:r>
              <w:rPr>
                <w:color w:val="222222"/>
                <w:sz w:val="19"/>
                <w:szCs w:val="19"/>
              </w:rPr>
              <w:t xml:space="preserve">5</w:t>
            </w:r>
          </w:p>
        </w:tc>
        <w:tc>
          <w:tcPr>
            <w:tcW w:type="dxa" w:w="4180"/>
            <w:shd w:fill="EAF1FA" w:color="auto" w:val="clear"/>
            <w:tcMar>
              <w:top w:type="dxa" w:w="60"/>
              <w:left w:type="dxa" w:w="90"/>
              <w:bottom w:type="dxa" w:w="60"/>
              <w:right w:type="dxa" w:w="90"/>
            </w:tcMar>
            <w:vAlign w:val="center"/>
          </w:tcPr>
          <w:p>
            <w:pPr>
              <w:spacing w:after="40" w:line="260"/>
            </w:pPr>
            <w:r>
              <w:rPr>
                <w:color w:val="222222"/>
                <w:sz w:val="19"/>
                <w:szCs w:val="19"/>
              </w:rPr>
              <w:t xml:space="preserve">Embeddings, chunking, vector search</w:t>
            </w:r>
          </w:p>
        </w:tc>
        <w:tc>
          <w:tcPr>
            <w:tcW w:type="dxa" w:w="4180"/>
            <w:shd w:fill="EAF1FA" w:color="auto" w:val="clear"/>
            <w:tcMar>
              <w:top w:type="dxa" w:w="60"/>
              <w:left w:type="dxa" w:w="90"/>
              <w:bottom w:type="dxa" w:w="60"/>
              <w:right w:type="dxa" w:w="90"/>
            </w:tcMar>
            <w:vAlign w:val="center"/>
          </w:tcPr>
          <w:p>
            <w:pPr>
              <w:spacing w:after="40" w:line="260"/>
            </w:pPr>
            <w:r>
              <w:rPr>
                <w:color w:val="222222"/>
                <w:sz w:val="19"/>
                <w:szCs w:val="19"/>
              </w:rPr>
              <w:t xml:space="preserve">Chunk + embed signals into Chroma/pgvector; retrieve relevant evidence per company</w:t>
            </w:r>
          </w:p>
        </w:tc>
      </w:tr>
      <w:tr>
        <w:tc>
          <w:tcPr>
            <w:tcW w:type="dxa" w:w="1000"/>
            <w:shd w:fill="FFFFFF" w:color="auto" w:val="clear"/>
            <w:tcMar>
              <w:top w:type="dxa" w:w="60"/>
              <w:left w:type="dxa" w:w="90"/>
              <w:bottom w:type="dxa" w:w="60"/>
              <w:right w:type="dxa" w:w="90"/>
            </w:tcMar>
            <w:vAlign w:val="center"/>
          </w:tcPr>
          <w:p>
            <w:pPr>
              <w:spacing w:after="40" w:line="260"/>
            </w:pPr>
            <w:r>
              <w:rPr>
                <w:color w:val="222222"/>
                <w:sz w:val="19"/>
                <w:szCs w:val="19"/>
              </w:rPr>
              <w:t xml:space="preserve">6</w:t>
            </w:r>
          </w:p>
        </w:tc>
        <w:tc>
          <w:tcPr>
            <w:tcW w:type="dxa" w:w="4180"/>
            <w:shd w:fill="FFFFFF" w:color="auto" w:val="clear"/>
            <w:tcMar>
              <w:top w:type="dxa" w:w="60"/>
              <w:left w:type="dxa" w:w="90"/>
              <w:bottom w:type="dxa" w:w="60"/>
              <w:right w:type="dxa" w:w="90"/>
            </w:tcMar>
            <w:vAlign w:val="center"/>
          </w:tcPr>
          <w:p>
            <w:pPr>
              <w:spacing w:after="40" w:line="260"/>
            </w:pPr>
            <w:r>
              <w:rPr>
                <w:color w:val="222222"/>
                <w:sz w:val="19"/>
                <w:szCs w:val="19"/>
              </w:rPr>
              <w:t xml:space="preserve">RAG assembly, citations, grounding</w:t>
            </w:r>
          </w:p>
        </w:tc>
        <w:tc>
          <w:tcPr>
            <w:tcW w:type="dxa" w:w="4180"/>
            <w:shd w:fill="FFFFFF" w:color="auto" w:val="clear"/>
            <w:tcMar>
              <w:top w:type="dxa" w:w="60"/>
              <w:left w:type="dxa" w:w="90"/>
              <w:bottom w:type="dxa" w:w="60"/>
              <w:right w:type="dxa" w:w="90"/>
            </w:tcMar>
            <w:vAlign w:val="center"/>
          </w:tcPr>
          <w:p>
            <w:pPr>
              <w:spacing w:after="40" w:line="260"/>
            </w:pPr>
            <w:r>
              <w:rPr>
                <w:color w:val="222222"/>
                <w:sz w:val="19"/>
                <w:szCs w:val="19"/>
              </w:rPr>
              <w:t xml:space="preserve">Briefs now cite real retrieved signals; measure retrieval hit-rate informally</w:t>
            </w:r>
          </w:p>
        </w:tc>
      </w:tr>
    </w:tbl>
    <w:p>
      <w:pPr>
        <w:pStyle w:val="Heading2"/>
        <w:spacing w:after="100" w:before="220"/>
      </w:pPr>
      <w:r>
        <w:rPr>
          <w:b/>
          <w:bCs/>
          <w:color w:val="2E6CB5"/>
          <w:sz w:val="26"/>
          <w:szCs w:val="26"/>
        </w:rPr>
        <w:t xml:space="preserve">Phase 3 · Weeks 7–9 — Agents + evaluation (the differentiator)</w:t>
      </w:r>
    </w:p>
    <w:p>
      <w:pPr>
        <w:spacing w:after="120" w:line="276"/>
      </w:pPr>
      <w:r>
        <w:rPr>
          <w:color w:val="555555"/>
          <w:sz w:val="22"/>
          <w:szCs w:val="22"/>
        </w:rPr>
        <w:t xml:space="preserve">Goal: an agent that assembles briefs autonomously, and — most important — a real evaluation harness with a dashboard. This is the part that gets you hired.</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1000"/>
        <w:gridCol w:w="4180"/>
        <w:gridCol w:w="4180"/>
      </w:tblGrid>
      <w:tr>
        <w:tc>
          <w:tcPr>
            <w:tcW w:type="dxa" w:w="1000"/>
            <w:shd w:fill="1F3B63" w:color="auto" w:val="clear"/>
            <w:tcMar>
              <w:top w:type="dxa" w:w="60"/>
              <w:left w:type="dxa" w:w="90"/>
              <w:bottom w:type="dxa" w:w="60"/>
              <w:right w:type="dxa" w:w="90"/>
            </w:tcMar>
          </w:tcPr>
          <w:p>
            <w:pPr>
              <w:spacing w:after="40" w:line="260"/>
            </w:pPr>
            <w:r>
              <w:rPr>
                <w:b/>
                <w:bCs/>
                <w:color w:val="FFFFFF"/>
                <w:sz w:val="19"/>
                <w:szCs w:val="19"/>
              </w:rPr>
              <w:t xml:space="preserve">Week</w:t>
            </w:r>
          </w:p>
        </w:tc>
        <w:tc>
          <w:tcPr>
            <w:tcW w:type="dxa" w:w="4180"/>
            <w:shd w:fill="1F3B63" w:color="auto" w:val="clear"/>
            <w:tcMar>
              <w:top w:type="dxa" w:w="60"/>
              <w:left w:type="dxa" w:w="90"/>
              <w:bottom w:type="dxa" w:w="60"/>
              <w:right w:type="dxa" w:w="90"/>
            </w:tcMar>
          </w:tcPr>
          <w:p>
            <w:pPr>
              <w:spacing w:after="40" w:line="260"/>
            </w:pPr>
            <w:r>
              <w:rPr>
                <w:b/>
                <w:bCs/>
                <w:color w:val="FFFFFF"/>
                <w:sz w:val="19"/>
                <w:szCs w:val="19"/>
              </w:rPr>
              <w:t xml:space="preserve">Skill focus</w:t>
            </w:r>
          </w:p>
        </w:tc>
        <w:tc>
          <w:tcPr>
            <w:tcW w:type="dxa" w:w="4180"/>
            <w:shd w:fill="1F3B63" w:color="auto" w:val="clear"/>
            <w:tcMar>
              <w:top w:type="dxa" w:w="60"/>
              <w:left w:type="dxa" w:w="90"/>
              <w:bottom w:type="dxa" w:w="60"/>
              <w:right w:type="dxa" w:w="90"/>
            </w:tcMar>
          </w:tcPr>
          <w:p>
            <w:pPr>
              <w:spacing w:after="40" w:line="260"/>
            </w:pPr>
            <w:r>
              <w:rPr>
                <w:b/>
                <w:bCs/>
                <w:color w:val="FFFFFF"/>
                <w:sz w:val="19"/>
                <w:szCs w:val="19"/>
              </w:rPr>
              <w:t xml:space="preserve">Build milestone / artifact</w:t>
            </w:r>
          </w:p>
        </w:tc>
      </w:tr>
      <w:tr>
        <w:tc>
          <w:tcPr>
            <w:tcW w:type="dxa" w:w="1000"/>
            <w:shd w:fill="FFFFFF" w:color="auto" w:val="clear"/>
            <w:tcMar>
              <w:top w:type="dxa" w:w="60"/>
              <w:left w:type="dxa" w:w="90"/>
              <w:bottom w:type="dxa" w:w="60"/>
              <w:right w:type="dxa" w:w="90"/>
            </w:tcMar>
            <w:vAlign w:val="center"/>
          </w:tcPr>
          <w:p>
            <w:pPr>
              <w:spacing w:after="40" w:line="260"/>
            </w:pPr>
            <w:r>
              <w:rPr>
                <w:color w:val="222222"/>
                <w:sz w:val="19"/>
                <w:szCs w:val="19"/>
              </w:rPr>
              <w:t xml:space="preserve">7</w:t>
            </w:r>
          </w:p>
        </w:tc>
        <w:tc>
          <w:tcPr>
            <w:tcW w:type="dxa" w:w="4180"/>
            <w:shd w:fill="FFFFFF" w:color="auto" w:val="clear"/>
            <w:tcMar>
              <w:top w:type="dxa" w:w="60"/>
              <w:left w:type="dxa" w:w="90"/>
              <w:bottom w:type="dxa" w:w="60"/>
              <w:right w:type="dxa" w:w="90"/>
            </w:tcMar>
            <w:vAlign w:val="center"/>
          </w:tcPr>
          <w:p>
            <w:pPr>
              <w:spacing w:after="40" w:line="260"/>
            </w:pPr>
            <w:r>
              <w:rPr>
                <w:color w:val="222222"/>
                <w:sz w:val="19"/>
                <w:szCs w:val="19"/>
              </w:rPr>
              <w:t xml:space="preserve">Agents, tool use, LangGraph</w:t>
            </w:r>
          </w:p>
        </w:tc>
        <w:tc>
          <w:tcPr>
            <w:tcW w:type="dxa" w:w="4180"/>
            <w:shd w:fill="FFFFFF" w:color="auto" w:val="clear"/>
            <w:tcMar>
              <w:top w:type="dxa" w:w="60"/>
              <w:left w:type="dxa" w:w="90"/>
              <w:bottom w:type="dxa" w:w="60"/>
              <w:right w:type="dxa" w:w="90"/>
            </w:tcMar>
            <w:vAlign w:val="center"/>
          </w:tcPr>
          <w:p>
            <w:pPr>
              <w:spacing w:after="40" w:line="260"/>
            </w:pPr>
            <w:r>
              <w:rPr>
                <w:color w:val="222222"/>
                <w:sz w:val="19"/>
                <w:szCs w:val="19"/>
              </w:rPr>
              <w:t xml:space="preserve">Agent decides when to retrieve vs. call an API; assembles the brief as a multi-step flow</w:t>
            </w:r>
          </w:p>
        </w:tc>
      </w:tr>
      <w:tr>
        <w:tc>
          <w:tcPr>
            <w:tcW w:type="dxa" w:w="1000"/>
            <w:shd w:fill="EAF1FA" w:color="auto" w:val="clear"/>
            <w:tcMar>
              <w:top w:type="dxa" w:w="60"/>
              <w:left w:type="dxa" w:w="90"/>
              <w:bottom w:type="dxa" w:w="60"/>
              <w:right w:type="dxa" w:w="90"/>
            </w:tcMar>
            <w:vAlign w:val="center"/>
          </w:tcPr>
          <w:p>
            <w:pPr>
              <w:spacing w:after="40" w:line="260"/>
            </w:pPr>
            <w:r>
              <w:rPr>
                <w:color w:val="222222"/>
                <w:sz w:val="19"/>
                <w:szCs w:val="19"/>
              </w:rPr>
              <w:t xml:space="preserve">8</w:t>
            </w:r>
          </w:p>
        </w:tc>
        <w:tc>
          <w:tcPr>
            <w:tcW w:type="dxa" w:w="4180"/>
            <w:shd w:fill="EAF1FA" w:color="auto" w:val="clear"/>
            <w:tcMar>
              <w:top w:type="dxa" w:w="60"/>
              <w:left w:type="dxa" w:w="90"/>
              <w:bottom w:type="dxa" w:w="60"/>
              <w:right w:type="dxa" w:w="90"/>
            </w:tcMar>
            <w:vAlign w:val="center"/>
          </w:tcPr>
          <w:p>
            <w:pPr>
              <w:spacing w:after="40" w:line="260"/>
            </w:pPr>
            <w:r>
              <w:rPr>
                <w:color w:val="222222"/>
                <w:sz w:val="19"/>
                <w:szCs w:val="19"/>
              </w:rPr>
              <w:t xml:space="preserve">LLM evaluation ★: golden dataset, LLM-as-judge, RAGAS</w:t>
            </w:r>
          </w:p>
        </w:tc>
        <w:tc>
          <w:tcPr>
            <w:tcW w:type="dxa" w:w="4180"/>
            <w:shd w:fill="EAF1FA" w:color="auto" w:val="clear"/>
            <w:tcMar>
              <w:top w:type="dxa" w:w="60"/>
              <w:left w:type="dxa" w:w="90"/>
              <w:bottom w:type="dxa" w:w="60"/>
              <w:right w:type="dxa" w:w="90"/>
            </w:tcMar>
            <w:vAlign w:val="center"/>
          </w:tcPr>
          <w:p>
            <w:pPr>
              <w:spacing w:after="40" w:line="260"/>
            </w:pPr>
            <w:r>
              <w:rPr>
                <w:color w:val="222222"/>
                <w:sz w:val="19"/>
                <w:szCs w:val="19"/>
              </w:rPr>
              <w:t xml:space="preserve">Build a 50-task golden dataset; score faithfulness/relevance; document what 'good' means in numbers</w:t>
            </w:r>
          </w:p>
        </w:tc>
      </w:tr>
      <w:tr>
        <w:tc>
          <w:tcPr>
            <w:tcW w:type="dxa" w:w="1000"/>
            <w:shd w:fill="FFFFFF" w:color="auto" w:val="clear"/>
            <w:tcMar>
              <w:top w:type="dxa" w:w="60"/>
              <w:left w:type="dxa" w:w="90"/>
              <w:bottom w:type="dxa" w:w="60"/>
              <w:right w:type="dxa" w:w="90"/>
            </w:tcMar>
            <w:vAlign w:val="center"/>
          </w:tcPr>
          <w:p>
            <w:pPr>
              <w:spacing w:after="40" w:line="260"/>
            </w:pPr>
            <w:r>
              <w:rPr>
                <w:color w:val="222222"/>
                <w:sz w:val="19"/>
                <w:szCs w:val="19"/>
              </w:rPr>
              <w:t xml:space="preserve">9</w:t>
            </w:r>
          </w:p>
        </w:tc>
        <w:tc>
          <w:tcPr>
            <w:tcW w:type="dxa" w:w="4180"/>
            <w:shd w:fill="FFFFFF" w:color="auto" w:val="clear"/>
            <w:tcMar>
              <w:top w:type="dxa" w:w="60"/>
              <w:left w:type="dxa" w:w="90"/>
              <w:bottom w:type="dxa" w:w="60"/>
              <w:right w:type="dxa" w:w="90"/>
            </w:tcMar>
            <w:vAlign w:val="center"/>
          </w:tcPr>
          <w:p>
            <w:pPr>
              <w:spacing w:after="40" w:line="260"/>
            </w:pPr>
            <w:r>
              <w:rPr>
                <w:color w:val="222222"/>
                <w:sz w:val="19"/>
                <w:szCs w:val="19"/>
              </w:rPr>
              <w:t xml:space="preserve">Regression + model comparison + cost</w:t>
            </w:r>
          </w:p>
        </w:tc>
        <w:tc>
          <w:tcPr>
            <w:tcW w:type="dxa" w:w="4180"/>
            <w:shd w:fill="FFFFFF" w:color="auto" w:val="clear"/>
            <w:tcMar>
              <w:top w:type="dxa" w:w="60"/>
              <w:left w:type="dxa" w:w="90"/>
              <w:bottom w:type="dxa" w:w="60"/>
              <w:right w:type="dxa" w:w="90"/>
            </w:tcMar>
            <w:vAlign w:val="center"/>
          </w:tcPr>
          <w:p>
            <w:pPr>
              <w:spacing w:after="40" w:line="260"/>
            </w:pPr>
            <w:r>
              <w:rPr>
                <w:color w:val="222222"/>
                <w:sz w:val="19"/>
                <w:szCs w:val="19"/>
              </w:rPr>
              <w:t xml:space="preserve">Weekly eval across GPT-4o / Claude / Gemini / small open model; published dashboard + cost-per-brief model</w:t>
            </w:r>
          </w:p>
        </w:tc>
      </w:tr>
    </w:tbl>
    <w:p>
      <w:pPr>
        <w:pStyle w:val="Heading2"/>
        <w:spacing w:after="100" w:before="220"/>
      </w:pPr>
      <w:r>
        <w:rPr>
          <w:b/>
          <w:bCs/>
          <w:color w:val="2E6CB5"/>
          <w:sz w:val="26"/>
          <w:szCs w:val="26"/>
        </w:rPr>
        <w:t xml:space="preserve">Phase 4 · Weeks 10–12 — Polish, package, and job-ready artifacts</w:t>
      </w:r>
    </w:p>
    <w:p>
      <w:pPr>
        <w:spacing w:after="120" w:line="276"/>
      </w:pPr>
      <w:r>
        <w:rPr>
          <w:color w:val="555555"/>
          <w:sz w:val="22"/>
          <w:szCs w:val="22"/>
        </w:rPr>
        <w:t xml:space="preserve">Goal: turn the build into an interview-winning story and start applying.</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1000"/>
        <w:gridCol w:w="4180"/>
        <w:gridCol w:w="4180"/>
      </w:tblGrid>
      <w:tr>
        <w:tc>
          <w:tcPr>
            <w:tcW w:type="dxa" w:w="1000"/>
            <w:shd w:fill="1F3B63" w:color="auto" w:val="clear"/>
            <w:tcMar>
              <w:top w:type="dxa" w:w="60"/>
              <w:left w:type="dxa" w:w="90"/>
              <w:bottom w:type="dxa" w:w="60"/>
              <w:right w:type="dxa" w:w="90"/>
            </w:tcMar>
          </w:tcPr>
          <w:p>
            <w:pPr>
              <w:spacing w:after="40" w:line="260"/>
            </w:pPr>
            <w:r>
              <w:rPr>
                <w:b/>
                <w:bCs/>
                <w:color w:val="FFFFFF"/>
                <w:sz w:val="19"/>
                <w:szCs w:val="19"/>
              </w:rPr>
              <w:t xml:space="preserve">Week</w:t>
            </w:r>
          </w:p>
        </w:tc>
        <w:tc>
          <w:tcPr>
            <w:tcW w:type="dxa" w:w="4180"/>
            <w:shd w:fill="1F3B63" w:color="auto" w:val="clear"/>
            <w:tcMar>
              <w:top w:type="dxa" w:w="60"/>
              <w:left w:type="dxa" w:w="90"/>
              <w:bottom w:type="dxa" w:w="60"/>
              <w:right w:type="dxa" w:w="90"/>
            </w:tcMar>
          </w:tcPr>
          <w:p>
            <w:pPr>
              <w:spacing w:after="40" w:line="260"/>
            </w:pPr>
            <w:r>
              <w:rPr>
                <w:b/>
                <w:bCs/>
                <w:color w:val="FFFFFF"/>
                <w:sz w:val="19"/>
                <w:szCs w:val="19"/>
              </w:rPr>
              <w:t xml:space="preserve">Skill focus</w:t>
            </w:r>
          </w:p>
        </w:tc>
        <w:tc>
          <w:tcPr>
            <w:tcW w:type="dxa" w:w="4180"/>
            <w:shd w:fill="1F3B63" w:color="auto" w:val="clear"/>
            <w:tcMar>
              <w:top w:type="dxa" w:w="60"/>
              <w:left w:type="dxa" w:w="90"/>
              <w:bottom w:type="dxa" w:w="60"/>
              <w:right w:type="dxa" w:w="90"/>
            </w:tcMar>
          </w:tcPr>
          <w:p>
            <w:pPr>
              <w:spacing w:after="40" w:line="260"/>
            </w:pPr>
            <w:r>
              <w:rPr>
                <w:b/>
                <w:bCs/>
                <w:color w:val="FFFFFF"/>
                <w:sz w:val="19"/>
                <w:szCs w:val="19"/>
              </w:rPr>
              <w:t xml:space="preserve">Build milestone / artifact</w:t>
            </w:r>
          </w:p>
        </w:tc>
      </w:tr>
      <w:tr>
        <w:tc>
          <w:tcPr>
            <w:tcW w:type="dxa" w:w="1000"/>
            <w:shd w:fill="FFFFFF" w:color="auto" w:val="clear"/>
            <w:tcMar>
              <w:top w:type="dxa" w:w="60"/>
              <w:left w:type="dxa" w:w="90"/>
              <w:bottom w:type="dxa" w:w="60"/>
              <w:right w:type="dxa" w:w="90"/>
            </w:tcMar>
            <w:vAlign w:val="center"/>
          </w:tcPr>
          <w:p>
            <w:pPr>
              <w:spacing w:after="40" w:line="260"/>
            </w:pPr>
            <w:r>
              <w:rPr>
                <w:color w:val="222222"/>
                <w:sz w:val="19"/>
                <w:szCs w:val="19"/>
              </w:rPr>
              <w:t xml:space="preserve">10</w:t>
            </w:r>
          </w:p>
        </w:tc>
        <w:tc>
          <w:tcPr>
            <w:tcW w:type="dxa" w:w="4180"/>
            <w:shd w:fill="FFFFFF" w:color="auto" w:val="clear"/>
            <w:tcMar>
              <w:top w:type="dxa" w:w="60"/>
              <w:left w:type="dxa" w:w="90"/>
              <w:bottom w:type="dxa" w:w="60"/>
              <w:right w:type="dxa" w:w="90"/>
            </w:tcMar>
            <w:vAlign w:val="center"/>
          </w:tcPr>
          <w:p>
            <w:pPr>
              <w:spacing w:after="40" w:line="260"/>
            </w:pPr>
            <w:r>
              <w:rPr>
                <w:color w:val="222222"/>
                <w:sz w:val="19"/>
                <w:szCs w:val="19"/>
              </w:rPr>
              <w:t xml:space="preserve">Delivery + UX packaging</w:t>
            </w:r>
          </w:p>
        </w:tc>
        <w:tc>
          <w:tcPr>
            <w:tcW w:type="dxa" w:w="4180"/>
            <w:shd w:fill="FFFFFF" w:color="auto" w:val="clear"/>
            <w:tcMar>
              <w:top w:type="dxa" w:w="60"/>
              <w:left w:type="dxa" w:w="90"/>
              <w:bottom w:type="dxa" w:w="60"/>
              <w:right w:type="dxa" w:w="90"/>
            </w:tcMar>
            <w:vAlign w:val="center"/>
          </w:tcPr>
          <w:p>
            <w:pPr>
              <w:spacing w:after="40" w:line="260"/>
            </w:pPr>
            <w:r>
              <w:rPr>
                <w:color w:val="222222"/>
                <w:sz w:val="19"/>
                <w:szCs w:val="19"/>
              </w:rPr>
              <w:t xml:space="preserve">Calendar-aware push to Slack/Telegram before meetings; polish the demo</w:t>
            </w:r>
          </w:p>
        </w:tc>
      </w:tr>
      <w:tr>
        <w:tc>
          <w:tcPr>
            <w:tcW w:type="dxa" w:w="1000"/>
            <w:shd w:fill="EAF1FA" w:color="auto" w:val="clear"/>
            <w:tcMar>
              <w:top w:type="dxa" w:w="60"/>
              <w:left w:type="dxa" w:w="90"/>
              <w:bottom w:type="dxa" w:w="60"/>
              <w:right w:type="dxa" w:w="90"/>
            </w:tcMar>
            <w:vAlign w:val="center"/>
          </w:tcPr>
          <w:p>
            <w:pPr>
              <w:spacing w:after="40" w:line="260"/>
            </w:pPr>
            <w:r>
              <w:rPr>
                <w:color w:val="222222"/>
                <w:sz w:val="19"/>
                <w:szCs w:val="19"/>
              </w:rPr>
              <w:t xml:space="preserve">11</w:t>
            </w:r>
          </w:p>
        </w:tc>
        <w:tc>
          <w:tcPr>
            <w:tcW w:type="dxa" w:w="4180"/>
            <w:shd w:fill="EAF1FA" w:color="auto" w:val="clear"/>
            <w:tcMar>
              <w:top w:type="dxa" w:w="60"/>
              <w:left w:type="dxa" w:w="90"/>
              <w:bottom w:type="dxa" w:w="60"/>
              <w:right w:type="dxa" w:w="90"/>
            </w:tcMar>
            <w:vAlign w:val="center"/>
          </w:tcPr>
          <w:p>
            <w:pPr>
              <w:spacing w:after="40" w:line="260"/>
            </w:pPr>
            <w:r>
              <w:rPr>
                <w:color w:val="222222"/>
                <w:sz w:val="19"/>
                <w:szCs w:val="19"/>
              </w:rPr>
              <w:t xml:space="preserve">AI-native PRD + writing</w:t>
            </w:r>
          </w:p>
        </w:tc>
        <w:tc>
          <w:tcPr>
            <w:tcW w:type="dxa" w:w="4180"/>
            <w:shd w:fill="EAF1FA" w:color="auto" w:val="clear"/>
            <w:tcMar>
              <w:top w:type="dxa" w:w="60"/>
              <w:left w:type="dxa" w:w="90"/>
              <w:bottom w:type="dxa" w:w="60"/>
              <w:right w:type="dxa" w:w="90"/>
            </w:tcMar>
            <w:vAlign w:val="center"/>
          </w:tcPr>
          <w:p>
            <w:pPr>
              <w:spacing w:after="40" w:line="260"/>
            </w:pPr>
            <w:r>
              <w:rPr>
                <w:color w:val="222222"/>
                <w:sz w:val="19"/>
                <w:szCs w:val="19"/>
              </w:rPr>
              <w:t xml:space="preserve">Write the full AI-native PRD (model rationale, eval criteria, failure modes); finalise DECISIONS.md</w:t>
            </w:r>
          </w:p>
        </w:tc>
      </w:tr>
      <w:tr>
        <w:tc>
          <w:tcPr>
            <w:tcW w:type="dxa" w:w="1000"/>
            <w:shd w:fill="FFFFFF" w:color="auto" w:val="clear"/>
            <w:tcMar>
              <w:top w:type="dxa" w:w="60"/>
              <w:left w:type="dxa" w:w="90"/>
              <w:bottom w:type="dxa" w:w="60"/>
              <w:right w:type="dxa" w:w="90"/>
            </w:tcMar>
            <w:vAlign w:val="center"/>
          </w:tcPr>
          <w:p>
            <w:pPr>
              <w:spacing w:after="40" w:line="260"/>
            </w:pPr>
            <w:r>
              <w:rPr>
                <w:color w:val="222222"/>
                <w:sz w:val="19"/>
                <w:szCs w:val="19"/>
              </w:rPr>
              <w:t xml:space="preserve">12</w:t>
            </w:r>
          </w:p>
        </w:tc>
        <w:tc>
          <w:tcPr>
            <w:tcW w:type="dxa" w:w="4180"/>
            <w:shd w:fill="FFFFFF" w:color="auto" w:val="clear"/>
            <w:tcMar>
              <w:top w:type="dxa" w:w="60"/>
              <w:left w:type="dxa" w:w="90"/>
              <w:bottom w:type="dxa" w:w="60"/>
              <w:right w:type="dxa" w:w="90"/>
            </w:tcMar>
            <w:vAlign w:val="center"/>
          </w:tcPr>
          <w:p>
            <w:pPr>
              <w:spacing w:after="40" w:line="260"/>
            </w:pPr>
            <w:r>
              <w:rPr>
                <w:color w:val="222222"/>
                <w:sz w:val="19"/>
                <w:szCs w:val="19"/>
              </w:rPr>
              <w:t xml:space="preserve">Portfolio + interview prep</w:t>
            </w:r>
          </w:p>
        </w:tc>
        <w:tc>
          <w:tcPr>
            <w:tcW w:type="dxa" w:w="4180"/>
            <w:shd w:fill="FFFFFF" w:color="auto" w:val="clear"/>
            <w:tcMar>
              <w:top w:type="dxa" w:w="60"/>
              <w:left w:type="dxa" w:w="90"/>
              <w:bottom w:type="dxa" w:w="60"/>
              <w:right w:type="dxa" w:w="90"/>
            </w:tcMar>
            <w:vAlign w:val="center"/>
          </w:tcPr>
          <w:p>
            <w:pPr>
              <w:spacing w:after="40" w:line="260"/>
            </w:pPr>
            <w:r>
              <w:rPr>
                <w:color w:val="222222"/>
                <w:sz w:val="19"/>
                <w:szCs w:val="19"/>
              </w:rPr>
              <w:t xml:space="preserve">Case-study write-up, demo video, loom walkthrough; begin applications + mock AI-PM interviews</w:t>
            </w:r>
          </w:p>
        </w:tc>
      </w:tr>
    </w:tbl>
    <w:p>
      <w:r>
        <w:br w:type="page"/>
      </w:r>
    </w:p>
    <w:p>
      <w:pPr>
        <w:pStyle w:val="Heading1"/>
        <w:spacing w:after="140" w:before="320"/>
      </w:pPr>
      <w:r>
        <w:rPr>
          <w:b/>
          <w:bCs/>
          <w:color w:val="1F3B63"/>
          <w:sz w:val="30"/>
          <w:szCs w:val="30"/>
        </w:rPr>
        <w:t xml:space="preserve">6.  The artifacts that actually get interviews</w:t>
      </w:r>
    </w:p>
    <w:p>
      <w:pPr>
        <w:spacing w:after="120" w:line="276"/>
      </w:pPr>
      <w:r>
        <w:rPr>
          <w:color w:val="222222"/>
          <w:sz w:val="22"/>
          <w:szCs w:val="22"/>
        </w:rPr>
        <w:t xml:space="preserve">A hiring manager should be able to reach every one of these from a single portfolio link. Working URLs and numbers beat slides and opinions every time.</w:t>
      </w:r>
    </w:p>
    <w:p>
      <w:pPr>
        <w:pStyle w:val="ListParagraph"/>
        <w:numPr>
          <w:ilvl w:val="0"/>
          <w:numId w:val="1"/>
        </w:numPr>
        <w:spacing w:after="70" w:line="268"/>
      </w:pPr>
      <w:r>
        <w:rPr>
          <w:b/>
          <w:bCs/>
          <w:color w:val="222222"/>
          <w:sz w:val="22"/>
          <w:szCs w:val="22"/>
        </w:rPr>
        <w:t xml:space="preserve">Deployed working demo. </w:t>
      </w:r>
      <w:r>
        <w:rPr>
          <w:color w:val="222222"/>
          <w:sz w:val="22"/>
          <w:szCs w:val="22"/>
        </w:rPr>
        <w:t xml:space="preserve">A public URL (Slack bot or web) that produces a real brief for a real company. This alone beats 90% of PM portfolios.</w:t>
      </w:r>
    </w:p>
    <w:p>
      <w:pPr>
        <w:pStyle w:val="ListParagraph"/>
        <w:numPr>
          <w:ilvl w:val="0"/>
          <w:numId w:val="1"/>
        </w:numPr>
        <w:spacing w:after="70" w:line="268"/>
      </w:pPr>
      <w:r>
        <w:rPr>
          <w:b/>
          <w:bCs/>
          <w:color w:val="222222"/>
          <w:sz w:val="22"/>
          <w:szCs w:val="22"/>
        </w:rPr>
        <w:t xml:space="preserve">Evaluation dashboard. </w:t>
      </w:r>
      <w:r>
        <w:rPr>
          <w:color w:val="222222"/>
          <w:sz w:val="22"/>
          <w:szCs w:val="22"/>
        </w:rPr>
        <w:t xml:space="preserve">Your 50-task golden dataset scored weekly across multiple models, with regressions visible over time. This is the single strongest signal you can show.</w:t>
      </w:r>
    </w:p>
    <w:p>
      <w:pPr>
        <w:pStyle w:val="ListParagraph"/>
        <w:numPr>
          <w:ilvl w:val="0"/>
          <w:numId w:val="1"/>
        </w:numPr>
        <w:spacing w:after="70" w:line="268"/>
      </w:pPr>
      <w:r>
        <w:rPr>
          <w:b/>
          <w:bCs/>
          <w:color w:val="222222"/>
          <w:sz w:val="22"/>
          <w:szCs w:val="22"/>
        </w:rPr>
        <w:t xml:space="preserve">AI-native PRD. </w:t>
      </w:r>
      <w:r>
        <w:rPr>
          <w:color w:val="222222"/>
          <w:sz w:val="22"/>
          <w:szCs w:val="22"/>
        </w:rPr>
        <w:t xml:space="preserve">Not a generic PRD — one with explicit sections for model-choice rationale (cost/latency/quality/vendor risk), eval criteria in numbers, and failure modes with detection + response plans.</w:t>
      </w:r>
    </w:p>
    <w:p>
      <w:pPr>
        <w:pStyle w:val="ListParagraph"/>
        <w:numPr>
          <w:ilvl w:val="0"/>
          <w:numId w:val="1"/>
        </w:numPr>
        <w:spacing w:after="70" w:line="268"/>
      </w:pPr>
      <w:r>
        <w:rPr>
          <w:b/>
          <w:bCs/>
          <w:color w:val="222222"/>
          <w:sz w:val="22"/>
          <w:szCs w:val="22"/>
        </w:rPr>
        <w:t xml:space="preserve">DECISIONS.md. </w:t>
      </w:r>
      <w:r>
        <w:rPr>
          <w:color w:val="222222"/>
          <w:sz w:val="22"/>
          <w:szCs w:val="22"/>
        </w:rPr>
        <w:t xml:space="preserve">A running log of why you chose each technology and architecture. Hiring managers want your reasoning, not just your code.</w:t>
      </w:r>
    </w:p>
    <w:p>
      <w:pPr>
        <w:pStyle w:val="ListParagraph"/>
        <w:numPr>
          <w:ilvl w:val="0"/>
          <w:numId w:val="1"/>
        </w:numPr>
        <w:spacing w:after="70" w:line="268"/>
      </w:pPr>
      <w:r>
        <w:rPr>
          <w:b/>
          <w:bCs/>
          <w:color w:val="222222"/>
          <w:sz w:val="22"/>
          <w:szCs w:val="22"/>
        </w:rPr>
        <w:t xml:space="preserve">Cost model. </w:t>
      </w:r>
      <w:r>
        <w:rPr>
          <w:color w:val="222222"/>
          <w:sz w:val="22"/>
          <w:szCs w:val="22"/>
        </w:rPr>
        <w:t xml:space="preserve">A short doc showing cost-per-brief per model tier and how you'd keep it viable at scale. Rare, and it reads as 'this person thinks like an owner.'</w:t>
      </w:r>
    </w:p>
    <w:p>
      <w:pPr>
        <w:pStyle w:val="ListParagraph"/>
        <w:numPr>
          <w:ilvl w:val="0"/>
          <w:numId w:val="1"/>
        </w:numPr>
        <w:spacing w:after="70" w:line="268"/>
      </w:pPr>
      <w:r>
        <w:rPr>
          <w:b/>
          <w:bCs/>
          <w:color w:val="222222"/>
          <w:sz w:val="22"/>
          <w:szCs w:val="22"/>
        </w:rPr>
        <w:t xml:space="preserve">Case study + demo video. </w:t>
      </w:r>
      <w:r>
        <w:rPr>
          <w:color w:val="222222"/>
          <w:sz w:val="22"/>
          <w:szCs w:val="22"/>
        </w:rPr>
        <w:t xml:space="preserve">A 2–3 minute walkthrough and a written story: problem → users → tradeoffs → evals → what you'd do next.</w:t>
      </w:r>
    </w:p>
    <w:p>
      <w:pPr>
        <w:spacing w:after="80"/>
      </w:pPr>
    </w:p>
    <w:p>
      <w:pPr>
        <w:pStyle w:val="Heading2"/>
        <w:spacing w:after="100" w:before="220"/>
      </w:pPr>
      <w:r>
        <w:rPr>
          <w:b/>
          <w:bCs/>
          <w:color w:val="2E6CB5"/>
          <w:sz w:val="26"/>
          <w:szCs w:val="26"/>
        </w:rPr>
        <w:t xml:space="preserve">Interview readiness checklist</w:t>
      </w:r>
    </w:p>
    <w:p>
      <w:pPr>
        <w:pStyle w:val="ListParagraph"/>
        <w:numPr>
          <w:ilvl w:val="0"/>
          <w:numId w:val="1"/>
        </w:numPr>
        <w:spacing w:after="70" w:line="268"/>
      </w:pPr>
      <w:r>
        <w:rPr>
          <w:color w:val="222222"/>
          <w:sz w:val="22"/>
          <w:szCs w:val="22"/>
        </w:rPr>
        <w:t xml:space="preserve">Can you explain, on a whiteboard, how RAG works and where it fails?</w:t>
      </w:r>
    </w:p>
    <w:p>
      <w:pPr>
        <w:pStyle w:val="ListParagraph"/>
        <w:numPr>
          <w:ilvl w:val="0"/>
          <w:numId w:val="1"/>
        </w:numPr>
        <w:spacing w:after="70" w:line="268"/>
      </w:pPr>
      <w:r>
        <w:rPr>
          <w:color w:val="222222"/>
          <w:sz w:val="22"/>
          <w:szCs w:val="22"/>
        </w:rPr>
        <w:t xml:space="preserve">Can you defend your model choices on cost, latency, quality, and vendor risk?</w:t>
      </w:r>
    </w:p>
    <w:p>
      <w:pPr>
        <w:pStyle w:val="ListParagraph"/>
        <w:numPr>
          <w:ilvl w:val="0"/>
          <w:numId w:val="1"/>
        </w:numPr>
        <w:spacing w:after="70" w:line="268"/>
      </w:pPr>
      <w:r>
        <w:rPr>
          <w:color w:val="222222"/>
          <w:sz w:val="22"/>
          <w:szCs w:val="22"/>
        </w:rPr>
        <w:t xml:space="preserve">Can you describe how you'd detect and respond to hallucination in production?</w:t>
      </w:r>
    </w:p>
    <w:p>
      <w:pPr>
        <w:pStyle w:val="ListParagraph"/>
        <w:numPr>
          <w:ilvl w:val="0"/>
          <w:numId w:val="1"/>
        </w:numPr>
        <w:spacing w:after="70" w:line="268"/>
      </w:pPr>
      <w:r>
        <w:rPr>
          <w:color w:val="222222"/>
          <w:sz w:val="22"/>
          <w:szCs w:val="22"/>
        </w:rPr>
        <w:t xml:space="preserve">Can you walk through your eval methodology and what your numbers mean?</w:t>
      </w:r>
    </w:p>
    <w:p>
      <w:pPr>
        <w:pStyle w:val="ListParagraph"/>
        <w:numPr>
          <w:ilvl w:val="0"/>
          <w:numId w:val="1"/>
        </w:numPr>
        <w:spacing w:after="70" w:line="268"/>
      </w:pPr>
      <w:r>
        <w:rPr>
          <w:color w:val="222222"/>
          <w:sz w:val="22"/>
          <w:szCs w:val="22"/>
        </w:rPr>
        <w:t xml:space="preserve">Can you tell the product story — users, value, metrics — in two minutes?</w:t>
      </w:r>
    </w:p>
    <w:p>
      <w:pPr>
        <w:pStyle w:val="Heading1"/>
        <w:spacing w:after="140" w:before="320"/>
      </w:pPr>
      <w:r>
        <w:rPr>
          <w:b/>
          <w:bCs/>
          <w:color w:val="1F3B63"/>
          <w:sz w:val="30"/>
          <w:szCs w:val="30"/>
        </w:rPr>
        <w:t xml:space="preserve">7.  Weekly cadence &amp; immediate next steps</w:t>
      </w:r>
    </w:p>
    <w:p>
      <w:pPr>
        <w:spacing w:after="120" w:line="276"/>
      </w:pPr>
      <w:r>
        <w:rPr>
          <w:color w:val="222222"/>
          <w:sz w:val="22"/>
          <w:szCs w:val="22"/>
        </w:rPr>
        <w:t xml:space="preserve">Every week, in order: (1) learn the week's concept, (2) build the milestone, (3) write one DECISIONS.md entry explaining a choice you made, (4) log what broke and how you fixed it. That log becomes your interview material.</w:t>
      </w:r>
    </w:p>
    <w:p>
      <w:pPr>
        <w:pStyle w:val="Heading3"/>
        <w:spacing w:after="60" w:before="160"/>
      </w:pPr>
      <w:r>
        <w:rPr>
          <w:b/>
          <w:bCs/>
          <w:color w:val="1F3B63"/>
          <w:sz w:val="23"/>
          <w:szCs w:val="23"/>
        </w:rPr>
        <w:t xml:space="preserve">Start this week</w:t>
      </w:r>
    </w:p>
    <w:p>
      <w:pPr>
        <w:pStyle w:val="ListParagraph"/>
        <w:numPr>
          <w:ilvl w:val="0"/>
          <w:numId w:val="1"/>
        </w:numPr>
        <w:spacing w:after="70" w:line="268"/>
      </w:pPr>
      <w:r>
        <w:rPr>
          <w:color w:val="222222"/>
          <w:sz w:val="22"/>
          <w:szCs w:val="22"/>
        </w:rPr>
        <w:t xml:space="preserve">Set up the repo, Python env, and API keys (OpenAI + Anthropic).</w:t>
      </w:r>
    </w:p>
    <w:p>
      <w:pPr>
        <w:pStyle w:val="ListParagraph"/>
        <w:numPr>
          <w:ilvl w:val="0"/>
          <w:numId w:val="1"/>
        </w:numPr>
        <w:spacing w:after="70" w:line="268"/>
      </w:pPr>
      <w:r>
        <w:rPr>
          <w:color w:val="222222"/>
          <w:sz w:val="22"/>
          <w:szCs w:val="22"/>
        </w:rPr>
        <w:t xml:space="preserve">Pick your ONE vertical and list 20–30 target companies to track.</w:t>
      </w:r>
    </w:p>
    <w:p>
      <w:pPr>
        <w:pStyle w:val="ListParagraph"/>
        <w:numPr>
          <w:ilvl w:val="0"/>
          <w:numId w:val="1"/>
        </w:numPr>
        <w:spacing w:after="70" w:line="268"/>
      </w:pPr>
      <w:r>
        <w:rPr>
          <w:color w:val="222222"/>
          <w:sz w:val="22"/>
          <w:szCs w:val="22"/>
        </w:rPr>
        <w:t xml:space="preserve">Build the Week 1 milestone: a brief from a pasted company blurb.</w:t>
      </w:r>
    </w:p>
    <w:p>
      <w:pPr>
        <w:pStyle w:val="ListParagraph"/>
        <w:numPr>
          <w:ilvl w:val="0"/>
          <w:numId w:val="1"/>
        </w:numPr>
        <w:spacing w:after="70" w:line="268"/>
      </w:pPr>
      <w:r>
        <w:rPr>
          <w:color w:val="222222"/>
          <w:sz w:val="22"/>
          <w:szCs w:val="22"/>
        </w:rPr>
        <w:t xml:space="preserve">Create DECISIONS.md and write your first entry: why this vertical, why these models.</w:t>
      </w:r>
    </w:p>
    <w:p>
      <w:pPr>
        <w:spacing w:after="80"/>
      </w:pPr>
    </w:p>
    <w:p>
      <w:pPr>
        <w:spacing w:after="120" w:line="276"/>
      </w:pPr>
      <w:r>
        <w:rPr>
          <w:i/>
          <w:iCs/>
          <w:color w:val="2E6CB5"/>
          <w:sz w:val="22"/>
          <w:szCs w:val="22"/>
        </w:rPr>
        <w:t xml:space="preserve">Ship small, measure everything, and let the evaluation harness be the spine of your story. That is exactly what a ₹50 LPA / €150k AI PM is expected to do — and by week 12 you'll have done it.</w:t>
      </w:r>
    </w:p>
    <w:p>
      <w:pPr>
        <w:pStyle w:val="Heading1"/>
        <w:spacing w:after="140" w:before="320"/>
      </w:pPr>
      <w:r>
        <w:rPr>
          <w:b/>
          <w:bCs/>
          <w:color w:val="1F3B63"/>
          <w:sz w:val="30"/>
          <w:szCs w:val="30"/>
        </w:rPr>
        <w:t xml:space="preserve">Sources</w:t>
      </w:r>
    </w:p>
    <w:p>
      <w:pPr>
        <w:spacing w:after="60" w:line="264"/>
      </w:pPr>
      <w:r>
        <w:rPr>
          <w:color w:val="222222"/>
          <w:sz w:val="19"/>
          <w:szCs w:val="19"/>
        </w:rPr>
        <w:t xml:space="preserve">• The Ultimate AI Product Manager Roadmap (2026) — Product Compass — </w:t>
      </w:r>
      <w:r>
        <w:rPr>
          <w:color w:val="2E6CB5"/>
          <w:sz w:val="18"/>
          <w:szCs w:val="18"/>
          <w:u w:val="single"/>
        </w:rPr>
        <w:t xml:space="preserve">https://www.productcompass.pm/p/ai-product-manager-roadmap-2026</w:t>
      </w:r>
    </w:p>
    <w:p>
      <w:pPr>
        <w:spacing w:after="60" w:line="264"/>
      </w:pPr>
      <w:r>
        <w:rPr>
          <w:color w:val="222222"/>
          <w:sz w:val="19"/>
          <w:szCs w:val="19"/>
        </w:rPr>
        <w:t xml:space="preserve">• AI Product Manager Salary in Bengaluru 2026 — 6figr — </w:t>
      </w:r>
      <w:r>
        <w:rPr>
          <w:color w:val="2E6CB5"/>
          <w:sz w:val="18"/>
          <w:szCs w:val="18"/>
          <w:u w:val="single"/>
        </w:rPr>
        <w:t xml:space="preserve">https://6figr.com/in/salary/ai--product-manager--bangalore</w:t>
      </w:r>
    </w:p>
    <w:p>
      <w:pPr>
        <w:spacing w:after="60" w:line="264"/>
      </w:pPr>
      <w:r>
        <w:rPr>
          <w:color w:val="222222"/>
          <w:sz w:val="19"/>
          <w:szCs w:val="19"/>
        </w:rPr>
        <w:t xml:space="preserve">• AI Product Manager Salary in India — Product Leadership — </w:t>
      </w:r>
      <w:r>
        <w:rPr>
          <w:color w:val="2E6CB5"/>
          <w:sz w:val="18"/>
          <w:szCs w:val="18"/>
          <w:u w:val="single"/>
        </w:rPr>
        <w:t xml:space="preserve">https://www.productleadership.com/ai-product-manager-salary-india/</w:t>
      </w:r>
    </w:p>
    <w:p>
      <w:pPr>
        <w:spacing w:after="60" w:line="264"/>
      </w:pPr>
      <w:r>
        <w:rPr>
          <w:color w:val="222222"/>
          <w:sz w:val="19"/>
          <w:szCs w:val="19"/>
        </w:rPr>
        <w:t xml:space="preserve">• AI Product Manager Salary in Amsterdam 2026 — IdeaPlan — </w:t>
      </w:r>
      <w:r>
        <w:rPr>
          <w:color w:val="2E6CB5"/>
          <w:sz w:val="18"/>
          <w:szCs w:val="18"/>
          <w:u w:val="single"/>
        </w:rPr>
        <w:t xml:space="preserve">https://www.ideaplan.io/product-manager-salary/ai-product-manager/amsterdam</w:t>
      </w:r>
    </w:p>
    <w:p>
      <w:pPr>
        <w:spacing w:after="60" w:line="264"/>
      </w:pPr>
      <w:r>
        <w:rPr>
          <w:color w:val="222222"/>
          <w:sz w:val="19"/>
          <w:szCs w:val="19"/>
        </w:rPr>
        <w:t xml:space="preserve">• AI Product Manager Salary in Netherlands — SalaryExpert — </w:t>
      </w:r>
      <w:r>
        <w:rPr>
          <w:color w:val="2E6CB5"/>
          <w:sz w:val="18"/>
          <w:szCs w:val="18"/>
          <w:u w:val="single"/>
        </w:rPr>
        <w:t xml:space="preserve">https://www.salaryexpert.com/salary/job/ai-product-manager/netherlands</w:t>
      </w:r>
    </w:p>
    <w:p>
      <w:pPr>
        <w:spacing w:after="60" w:line="264"/>
      </w:pPr>
      <w:r>
        <w:rPr>
          <w:color w:val="222222"/>
          <w:sz w:val="19"/>
          <w:szCs w:val="19"/>
        </w:rPr>
        <w:t xml:space="preserve">• The 10 AI PM Portfolio Projects That Actually Get You Hired — ShipSet — </w:t>
      </w:r>
      <w:r>
        <w:rPr>
          <w:color w:val="2E6CB5"/>
          <w:sz w:val="18"/>
          <w:szCs w:val="18"/>
          <w:u w:val="single"/>
        </w:rPr>
        <w:t xml:space="preserve">https://shipset.app/blog/ai-pm-portfolio-projects</w:t>
      </w:r>
    </w:p>
    <w:p>
      <w:pPr>
        <w:spacing w:after="60" w:line="264"/>
      </w:pPr>
      <w:r>
        <w:rPr>
          <w:color w:val="222222"/>
          <w:sz w:val="19"/>
          <w:szCs w:val="19"/>
        </w:rPr>
        <w:t xml:space="preserve">• 12 AI PM Portfolio Projects Ranked by Hireability (2026) — InstitutePM — </w:t>
      </w:r>
      <w:r>
        <w:rPr>
          <w:color w:val="2E6CB5"/>
          <w:sz w:val="18"/>
          <w:szCs w:val="18"/>
          <w:u w:val="single"/>
        </w:rPr>
        <w:t xml:space="preserve">https://www.institutepm.com/knowledge-hub/ai-pm-learning-by-building-projects</w:t>
      </w:r>
    </w:p>
    <w:p>
      <w:pPr>
        <w:spacing w:after="60" w:line="264"/>
      </w:pPr>
      <w:r>
        <w:rPr>
          <w:color w:val="222222"/>
          <w:sz w:val="19"/>
          <w:szCs w:val="19"/>
        </w:rPr>
        <w:t xml:space="preserve">• Best RAG Tools and Vector Databases in 2026 — Awesome Agents — </w:t>
      </w:r>
      <w:r>
        <w:rPr>
          <w:color w:val="2E6CB5"/>
          <w:sz w:val="18"/>
          <w:szCs w:val="18"/>
          <w:u w:val="single"/>
        </w:rPr>
        <w:t xml:space="preserve">https://awesomeagents.ai/tools/best-ai-rag-tools-2026/</w:t>
      </w:r>
    </w:p>
    <w:p>
      <w:pPr>
        <w:spacing w:after="60" w:line="264"/>
      </w:pPr>
      <w:r>
        <w:rPr>
          <w:color w:val="222222"/>
          <w:sz w:val="19"/>
          <w:szCs w:val="19"/>
        </w:rPr>
        <w:t xml:space="preserve">• LangChain in 2026: Building Reliable Agents and RAG Pipelines — </w:t>
      </w:r>
      <w:r>
        <w:rPr>
          <w:color w:val="2E6CB5"/>
          <w:sz w:val="18"/>
          <w:szCs w:val="18"/>
          <w:u w:val="single"/>
        </w:rPr>
        <w:t xml:space="preserve">https://www.blockchain-council.org/ai/langchain-2026-reliable-agents-langchain-rag/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Deal Engine — AI PM Skills &amp; Build Roadmap</dc:title>
  <dc:creator>Cyber Scout</dc:creator>
  <cp:lastModifiedBy>Un-named</cp:lastModifiedBy>
  <cp:revision>1</cp:revision>
  <dcterms:created xsi:type="dcterms:W3CDTF">2026-07-10T13:54:53.373Z</dcterms:created>
  <dcterms:modified xsi:type="dcterms:W3CDTF">2026-07-10T13:54:53.377Z</dcterms:modified>
</cp:coreProperties>
</file>

<file path=docProps/custom.xml><?xml version="1.0" encoding="utf-8"?>
<Properties xmlns="http://schemas.openxmlformats.org/officeDocument/2006/custom-properties" xmlns:vt="http://schemas.openxmlformats.org/officeDocument/2006/docPropsVTypes"/>
</file>