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970CE8" w:rsidRDefault="00B512BC" w:rsidP="00B512BC">
      <w:pPr>
        <w:pStyle w:val="Paper-Title"/>
        <w:spacing w:after="60"/>
        <w:rPr>
          <w:rFonts w:ascii="Times New Roman" w:eastAsia="MS Mincho" w:hAnsi="Times New Roman"/>
          <w:b w:val="0"/>
          <w:noProof/>
          <w:sz w:val="48"/>
          <w:szCs w:val="48"/>
        </w:rPr>
      </w:pPr>
      <w:r w:rsidRPr="00970CE8">
        <w:rPr>
          <w:rFonts w:ascii="Times New Roman" w:eastAsia="MS Mincho" w:hAnsi="Times New Roman"/>
          <w:b w:val="0"/>
          <w:noProof/>
          <w:sz w:val="48"/>
          <w:szCs w:val="48"/>
        </w:rPr>
        <w:t xml:space="preserve">Static Design of Spin Transfer Torques Magnetic Look Up Tables </w:t>
      </w:r>
      <w:r w:rsidR="002D4AF4" w:rsidRPr="00970CE8">
        <w:rPr>
          <w:rFonts w:ascii="Times New Roman" w:eastAsia="MS Mincho" w:hAnsi="Times New Roman"/>
          <w:b w:val="0"/>
          <w:noProof/>
          <w:sz w:val="48"/>
          <w:szCs w:val="48"/>
        </w:rPr>
        <w:t xml:space="preserve"> </w:t>
      </w:r>
    </w:p>
    <w:p w:rsidR="008B197E" w:rsidRPr="00252E10" w:rsidRDefault="008B197E">
      <w:pPr>
        <w:rPr>
          <w:b/>
          <w:bCs/>
        </w:rPr>
        <w:sectPr w:rsidR="008B197E" w:rsidRPr="00252E10" w:rsidSect="003B4153">
          <w:footerReference w:type="even" r:id="rId9"/>
          <w:pgSz w:w="12240" w:h="15840" w:code="1"/>
          <w:pgMar w:top="1080" w:right="1080" w:bottom="1440" w:left="1080" w:header="720" w:footer="720" w:gutter="0"/>
          <w:cols w:space="720"/>
        </w:sectPr>
      </w:pPr>
    </w:p>
    <w:p w:rsidR="008B197E" w:rsidRDefault="008B197E" w:rsidP="00A83707">
      <w:pPr>
        <w:pStyle w:val="Affiliations"/>
        <w:rPr>
          <w:spacing w:val="-2"/>
        </w:rPr>
      </w:pPr>
    </w:p>
    <w:p w:rsidR="00A83707" w:rsidRDefault="008B197E" w:rsidP="009C6C8F">
      <w:pPr>
        <w:pStyle w:val="Author"/>
        <w:spacing w:after="0"/>
        <w:jc w:val="left"/>
        <w:rPr>
          <w:spacing w:val="-2"/>
        </w:rPr>
      </w:pPr>
      <w:r>
        <w:rPr>
          <w:spacing w:val="-2"/>
        </w:rPr>
        <w:br w:type="column"/>
      </w:r>
      <w:r w:rsidR="00A83707">
        <w:rPr>
          <w:spacing w:val="-2"/>
        </w:rPr>
        <w:lastRenderedPageBreak/>
        <w:t xml:space="preserve"> </w:t>
      </w:r>
    </w:p>
    <w:p w:rsidR="008B197E" w:rsidRDefault="008B197E" w:rsidP="009C6C8F">
      <w:pPr>
        <w:pStyle w:val="Affiliations"/>
        <w:jc w:val="left"/>
        <w:rPr>
          <w:spacing w:val="-2"/>
        </w:rPr>
      </w:pPr>
      <w:r>
        <w:rPr>
          <w:spacing w:val="-2"/>
        </w:rPr>
        <w:br/>
      </w:r>
    </w:p>
    <w:p w:rsidR="008B197E" w:rsidRDefault="008B197E" w:rsidP="00A83707">
      <w:pPr>
        <w:pStyle w:val="Author"/>
        <w:spacing w:after="0"/>
        <w:rPr>
          <w:spacing w:val="-2"/>
        </w:rPr>
      </w:pPr>
      <w:r>
        <w:rPr>
          <w:spacing w:val="-2"/>
        </w:rPr>
        <w:br w:type="column"/>
      </w:r>
    </w:p>
    <w:p w:rsidR="008B197E" w:rsidRDefault="008B197E" w:rsidP="00A83707">
      <w:pPr>
        <w:pStyle w:val="Affiliations"/>
        <w:rPr>
          <w:spacing w:val="-2"/>
        </w:rPr>
      </w:pPr>
      <w:r>
        <w:rPr>
          <w:spacing w:val="-2"/>
        </w:rPr>
        <w:br/>
      </w:r>
      <w:r>
        <w:rPr>
          <w:spacing w:val="-2"/>
        </w:rPr>
        <w:br/>
      </w:r>
      <w:r>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Pr="009B697A" w:rsidRDefault="009B697A" w:rsidP="00970CE8">
      <w:pPr>
        <w:pStyle w:val="Abstract"/>
        <w:spacing w:after="0"/>
        <w:rPr>
          <w:rFonts w:eastAsia="SimSun"/>
          <w:b/>
          <w:bCs/>
          <w:kern w:val="0"/>
          <w:szCs w:val="18"/>
        </w:rPr>
      </w:pPr>
      <w:r w:rsidRPr="009B697A">
        <w:rPr>
          <w:b/>
          <w:bCs/>
          <w:i/>
          <w:iCs/>
        </w:rPr>
        <w:lastRenderedPageBreak/>
        <w:t>Abstract</w:t>
      </w:r>
      <w:r w:rsidRPr="009B697A">
        <w:rPr>
          <w:b/>
          <w:bCs/>
        </w:rPr>
        <w:t>—</w:t>
      </w:r>
      <w:r w:rsidR="002D4AF4" w:rsidRPr="009B697A">
        <w:rPr>
          <w:rFonts w:eastAsia="SimSun"/>
          <w:b/>
          <w:bCs/>
          <w:kern w:val="0"/>
          <w:szCs w:val="18"/>
        </w:rPr>
        <w:t>Spin Transfer Torque Magnetic Memory (STT-MRAM) is a promising technology for</w:t>
      </w:r>
      <w:r w:rsidR="00C12F22" w:rsidRPr="009B697A">
        <w:rPr>
          <w:rFonts w:eastAsia="SimSun"/>
          <w:b/>
          <w:bCs/>
          <w:kern w:val="0"/>
          <w:szCs w:val="18"/>
        </w:rPr>
        <w:t xml:space="preserve"> </w:t>
      </w:r>
      <w:r w:rsidR="002D4AF4" w:rsidRPr="009B697A">
        <w:rPr>
          <w:rFonts w:eastAsia="SimSun"/>
          <w:b/>
          <w:bCs/>
          <w:kern w:val="0"/>
          <w:szCs w:val="18"/>
        </w:rPr>
        <w:t xml:space="preserve">non-volatile storage in which the information is stored in the form of magnetic orientation of a Magnetic Tunnel Junction (MTJ) rather than electric charge. Besides memory applications, this technology is promising for </w:t>
      </w:r>
      <w:r w:rsidR="00C12F22" w:rsidRPr="009B697A">
        <w:rPr>
          <w:rFonts w:eastAsia="SimSun"/>
          <w:b/>
          <w:bCs/>
          <w:kern w:val="0"/>
          <w:szCs w:val="18"/>
        </w:rPr>
        <w:t xml:space="preserve">CMOS compatible </w:t>
      </w:r>
      <w:r w:rsidR="002D4AF4" w:rsidRPr="009B697A">
        <w:rPr>
          <w:rFonts w:eastAsia="SimSun"/>
          <w:b/>
          <w:bCs/>
          <w:kern w:val="0"/>
          <w:szCs w:val="18"/>
        </w:rPr>
        <w:t xml:space="preserve">non-volatile reconfigurable logic design. </w:t>
      </w:r>
      <w:r w:rsidR="00C12F22" w:rsidRPr="009B697A">
        <w:rPr>
          <w:rFonts w:eastAsia="SimSun"/>
          <w:b/>
          <w:bCs/>
          <w:kern w:val="0"/>
          <w:szCs w:val="18"/>
        </w:rPr>
        <w:t xml:space="preserve">Given the relatively </w:t>
      </w:r>
      <w:r w:rsidR="00EF6A89" w:rsidRPr="009B697A">
        <w:rPr>
          <w:rFonts w:eastAsia="SimSun"/>
          <w:b/>
          <w:bCs/>
          <w:kern w:val="0"/>
          <w:szCs w:val="18"/>
        </w:rPr>
        <w:t>high</w:t>
      </w:r>
      <w:r w:rsidR="00C12F22" w:rsidRPr="009B697A">
        <w:rPr>
          <w:rFonts w:eastAsia="SimSun"/>
          <w:b/>
          <w:bCs/>
          <w:kern w:val="0"/>
          <w:szCs w:val="18"/>
        </w:rPr>
        <w:t xml:space="preserve"> power and lon</w:t>
      </w:r>
      <w:r w:rsidR="00EF6A89" w:rsidRPr="009B697A">
        <w:rPr>
          <w:rFonts w:eastAsia="SimSun"/>
          <w:b/>
          <w:bCs/>
          <w:kern w:val="0"/>
          <w:szCs w:val="18"/>
        </w:rPr>
        <w:t>g</w:t>
      </w:r>
      <w:r w:rsidR="00C12F22" w:rsidRPr="009B697A">
        <w:rPr>
          <w:rFonts w:eastAsia="SimSun"/>
          <w:b/>
          <w:bCs/>
          <w:kern w:val="0"/>
          <w:szCs w:val="18"/>
        </w:rPr>
        <w:t xml:space="preserve"> delay </w:t>
      </w:r>
      <w:r w:rsidR="00EF6A89" w:rsidRPr="009B697A">
        <w:rPr>
          <w:rFonts w:eastAsia="SimSun"/>
          <w:b/>
          <w:bCs/>
          <w:kern w:val="0"/>
          <w:szCs w:val="18"/>
        </w:rPr>
        <w:t>associated</w:t>
      </w:r>
      <w:r w:rsidR="00C12F22" w:rsidRPr="009B697A">
        <w:rPr>
          <w:rFonts w:eastAsia="SimSun"/>
          <w:b/>
          <w:bCs/>
          <w:kern w:val="0"/>
          <w:szCs w:val="18"/>
        </w:rPr>
        <w:t xml:space="preserve"> with changing the </w:t>
      </w:r>
      <w:r w:rsidR="00F92A43" w:rsidRPr="009B697A">
        <w:rPr>
          <w:rFonts w:eastAsia="SimSun"/>
          <w:b/>
          <w:bCs/>
          <w:kern w:val="0"/>
          <w:szCs w:val="18"/>
        </w:rPr>
        <w:t xml:space="preserve">magnetic </w:t>
      </w:r>
      <w:r w:rsidR="00C12F22" w:rsidRPr="009B697A">
        <w:rPr>
          <w:rFonts w:eastAsia="SimSun"/>
          <w:b/>
          <w:bCs/>
          <w:kern w:val="0"/>
          <w:szCs w:val="18"/>
        </w:rPr>
        <w:t xml:space="preserve">state of an MTJ, the most efficient method of </w:t>
      </w:r>
      <w:r w:rsidR="00EF6A89" w:rsidRPr="009B697A">
        <w:rPr>
          <w:rFonts w:eastAsia="SimSun"/>
          <w:b/>
          <w:bCs/>
          <w:kern w:val="0"/>
          <w:szCs w:val="18"/>
        </w:rPr>
        <w:t>designing</w:t>
      </w:r>
      <w:r w:rsidR="00C12F22" w:rsidRPr="009B697A">
        <w:rPr>
          <w:rFonts w:eastAsia="SimSun"/>
          <w:b/>
          <w:bCs/>
          <w:kern w:val="0"/>
          <w:szCs w:val="18"/>
        </w:rPr>
        <w:t xml:space="preserve"> </w:t>
      </w:r>
      <w:r w:rsidR="00EF6A89" w:rsidRPr="009B697A">
        <w:rPr>
          <w:rFonts w:eastAsia="SimSun"/>
          <w:b/>
          <w:bCs/>
          <w:kern w:val="0"/>
          <w:szCs w:val="18"/>
        </w:rPr>
        <w:t>reconfigurable</w:t>
      </w:r>
      <w:r w:rsidR="00C12F22" w:rsidRPr="009B697A">
        <w:rPr>
          <w:rFonts w:eastAsia="SimSun"/>
          <w:b/>
          <w:bCs/>
          <w:kern w:val="0"/>
          <w:szCs w:val="18"/>
        </w:rPr>
        <w:t xml:space="preserve"> logic using MTJs is the </w:t>
      </w:r>
      <w:r w:rsidR="00EF6A89" w:rsidRPr="009B697A">
        <w:rPr>
          <w:rFonts w:eastAsia="SimSun"/>
          <w:b/>
          <w:bCs/>
          <w:kern w:val="0"/>
          <w:szCs w:val="18"/>
        </w:rPr>
        <w:t>Look-Up</w:t>
      </w:r>
      <w:r w:rsidR="00C12F22" w:rsidRPr="009B697A">
        <w:rPr>
          <w:rFonts w:eastAsia="SimSun"/>
          <w:b/>
          <w:bCs/>
          <w:kern w:val="0"/>
          <w:szCs w:val="18"/>
        </w:rPr>
        <w:t>-Table (LUT) based approach. In such STT-LUTs, the write to MTJs occur</w:t>
      </w:r>
      <w:r w:rsidR="00E4093A" w:rsidRPr="009B697A">
        <w:rPr>
          <w:rFonts w:eastAsia="SimSun"/>
          <w:b/>
          <w:bCs/>
          <w:kern w:val="0"/>
          <w:szCs w:val="18"/>
        </w:rPr>
        <w:t>s</w:t>
      </w:r>
      <w:r w:rsidR="00C12F22" w:rsidRPr="009B697A">
        <w:rPr>
          <w:rFonts w:eastAsia="SimSun"/>
          <w:b/>
          <w:bCs/>
          <w:kern w:val="0"/>
          <w:szCs w:val="18"/>
        </w:rPr>
        <w:t xml:space="preserve"> </w:t>
      </w:r>
      <w:r w:rsidR="00EF6A89" w:rsidRPr="009B697A">
        <w:rPr>
          <w:rFonts w:eastAsia="SimSun"/>
          <w:b/>
          <w:bCs/>
          <w:kern w:val="0"/>
          <w:szCs w:val="18"/>
        </w:rPr>
        <w:t>only</w:t>
      </w:r>
      <w:r w:rsidR="00C12F22" w:rsidRPr="009B697A">
        <w:rPr>
          <w:rFonts w:eastAsia="SimSun"/>
          <w:b/>
          <w:bCs/>
          <w:kern w:val="0"/>
          <w:szCs w:val="18"/>
        </w:rPr>
        <w:t xml:space="preserve"> during the configuration </w:t>
      </w:r>
      <w:r w:rsidR="00EF6A89" w:rsidRPr="009B697A">
        <w:rPr>
          <w:rFonts w:eastAsia="SimSun"/>
          <w:b/>
          <w:bCs/>
          <w:kern w:val="0"/>
          <w:szCs w:val="18"/>
        </w:rPr>
        <w:t>phase,</w:t>
      </w:r>
      <w:r w:rsidR="00C12F22" w:rsidRPr="009B697A">
        <w:rPr>
          <w:rFonts w:eastAsia="SimSun"/>
          <w:b/>
          <w:bCs/>
          <w:kern w:val="0"/>
          <w:szCs w:val="18"/>
        </w:rPr>
        <w:t xml:space="preserve"> </w:t>
      </w:r>
      <w:r w:rsidR="00EF6A89" w:rsidRPr="009B697A">
        <w:rPr>
          <w:rFonts w:eastAsia="SimSun"/>
          <w:b/>
          <w:bCs/>
          <w:kern w:val="0"/>
          <w:szCs w:val="18"/>
        </w:rPr>
        <w:t>while</w:t>
      </w:r>
      <w:r w:rsidR="00C12F22" w:rsidRPr="009B697A">
        <w:rPr>
          <w:rFonts w:eastAsia="SimSun"/>
          <w:b/>
          <w:bCs/>
          <w:kern w:val="0"/>
          <w:szCs w:val="18"/>
        </w:rPr>
        <w:t xml:space="preserve"> for the normal mode of the operation</w:t>
      </w:r>
      <w:r w:rsidR="00F92A43" w:rsidRPr="009B697A">
        <w:rPr>
          <w:rFonts w:eastAsia="SimSun"/>
          <w:b/>
          <w:bCs/>
          <w:kern w:val="0"/>
          <w:szCs w:val="18"/>
        </w:rPr>
        <w:t>,</w:t>
      </w:r>
      <w:r w:rsidR="00C12F22" w:rsidRPr="009B697A">
        <w:rPr>
          <w:rFonts w:eastAsia="SimSun"/>
          <w:b/>
          <w:bCs/>
          <w:kern w:val="0"/>
          <w:szCs w:val="18"/>
        </w:rPr>
        <w:t xml:space="preserve"> the MTJs are</w:t>
      </w:r>
      <w:r w:rsidR="00EF6A89" w:rsidRPr="009B697A">
        <w:rPr>
          <w:rFonts w:eastAsia="SimSun"/>
          <w:b/>
          <w:bCs/>
          <w:kern w:val="0"/>
          <w:szCs w:val="18"/>
        </w:rPr>
        <w:t xml:space="preserve"> only</w:t>
      </w:r>
      <w:r w:rsidR="00C12F22" w:rsidRPr="009B697A">
        <w:rPr>
          <w:rFonts w:eastAsia="SimSun"/>
          <w:b/>
          <w:bCs/>
          <w:kern w:val="0"/>
          <w:szCs w:val="18"/>
        </w:rPr>
        <w:t xml:space="preserve"> read from. </w:t>
      </w:r>
      <w:r w:rsidR="00B512BC" w:rsidRPr="009B697A">
        <w:rPr>
          <w:rFonts w:eastAsia="SimSun"/>
          <w:b/>
          <w:bCs/>
          <w:kern w:val="0"/>
          <w:szCs w:val="18"/>
        </w:rPr>
        <w:t xml:space="preserve">Most existing STT-LUT design </w:t>
      </w:r>
      <w:proofErr w:type="gramStart"/>
      <w:r w:rsidR="00B512BC" w:rsidRPr="009B697A">
        <w:rPr>
          <w:rFonts w:eastAsia="SimSun"/>
          <w:b/>
          <w:bCs/>
          <w:kern w:val="0"/>
          <w:szCs w:val="18"/>
        </w:rPr>
        <w:t>are</w:t>
      </w:r>
      <w:proofErr w:type="gramEnd"/>
      <w:r w:rsidR="00B512BC" w:rsidRPr="009B697A">
        <w:rPr>
          <w:rFonts w:eastAsia="SimSun"/>
          <w:b/>
          <w:bCs/>
          <w:kern w:val="0"/>
          <w:szCs w:val="18"/>
        </w:rPr>
        <w:t xml:space="preserve"> dynamic because of using a shared </w:t>
      </w:r>
      <w:proofErr w:type="spellStart"/>
      <w:r w:rsidR="00B512BC" w:rsidRPr="009B697A">
        <w:rPr>
          <w:rFonts w:eastAsia="SimSun"/>
          <w:b/>
          <w:bCs/>
          <w:kern w:val="0"/>
          <w:szCs w:val="18"/>
        </w:rPr>
        <w:t>precharge</w:t>
      </w:r>
      <w:proofErr w:type="spellEnd"/>
      <w:r w:rsidR="00B512BC" w:rsidRPr="009B697A">
        <w:rPr>
          <w:rFonts w:eastAsia="SimSun"/>
          <w:b/>
          <w:bCs/>
          <w:kern w:val="0"/>
          <w:szCs w:val="18"/>
        </w:rPr>
        <w:t xml:space="preserve"> sense amplifier to read the state of the selected MTJ</w:t>
      </w:r>
      <w:r w:rsidR="002D4AF4" w:rsidRPr="009B697A">
        <w:rPr>
          <w:rFonts w:eastAsia="SimSun"/>
          <w:b/>
          <w:bCs/>
          <w:kern w:val="0"/>
          <w:szCs w:val="18"/>
        </w:rPr>
        <w:t xml:space="preserve">. </w:t>
      </w:r>
      <w:r w:rsidR="00970CE8" w:rsidRPr="009B697A">
        <w:rPr>
          <w:rFonts w:eastAsia="SimSun"/>
          <w:b/>
          <w:bCs/>
          <w:kern w:val="0"/>
          <w:szCs w:val="18"/>
        </w:rPr>
        <w:t xml:space="preserve">Dynamic STT-LUTs are challenging to use along with static combinational logic circuits and are not supported by automated design flow tools. </w:t>
      </w:r>
      <w:r w:rsidR="002D4AF4" w:rsidRPr="009B697A">
        <w:rPr>
          <w:rFonts w:eastAsia="SimSun"/>
          <w:b/>
          <w:bCs/>
          <w:kern w:val="0"/>
          <w:szCs w:val="18"/>
        </w:rPr>
        <w:t xml:space="preserve">In this paper, </w:t>
      </w:r>
      <w:r w:rsidR="00C12F22" w:rsidRPr="009B697A">
        <w:rPr>
          <w:rFonts w:eastAsia="SimSun"/>
          <w:b/>
          <w:bCs/>
          <w:kern w:val="0"/>
          <w:szCs w:val="18"/>
        </w:rPr>
        <w:t xml:space="preserve">we </w:t>
      </w:r>
      <w:r w:rsidR="00F92A43" w:rsidRPr="009B697A">
        <w:rPr>
          <w:rFonts w:eastAsia="SimSun"/>
          <w:b/>
          <w:bCs/>
          <w:kern w:val="0"/>
          <w:szCs w:val="18"/>
        </w:rPr>
        <w:t xml:space="preserve">propose </w:t>
      </w:r>
      <w:r w:rsidR="00970CE8" w:rsidRPr="009B697A">
        <w:rPr>
          <w:rFonts w:eastAsia="SimSun"/>
          <w:b/>
          <w:bCs/>
          <w:kern w:val="0"/>
          <w:szCs w:val="18"/>
        </w:rPr>
        <w:t>a static approach to the design of</w:t>
      </w:r>
      <w:r w:rsidR="002146AB" w:rsidRPr="009B697A">
        <w:rPr>
          <w:rFonts w:eastAsia="SimSun"/>
          <w:b/>
          <w:bCs/>
          <w:kern w:val="0"/>
          <w:szCs w:val="18"/>
        </w:rPr>
        <w:t xml:space="preserve"> STT-LUTs </w:t>
      </w:r>
      <w:r w:rsidR="00970CE8" w:rsidRPr="009B697A">
        <w:rPr>
          <w:rFonts w:eastAsia="SimSun"/>
          <w:b/>
          <w:bCs/>
          <w:kern w:val="0"/>
          <w:szCs w:val="18"/>
        </w:rPr>
        <w:t>and investigate the sensing reliability in the proposed design in detail</w:t>
      </w:r>
      <w:r w:rsidR="00C12F22" w:rsidRPr="009B697A">
        <w:rPr>
          <w:rFonts w:eastAsia="SimSun"/>
          <w:b/>
          <w:bCs/>
          <w:kern w:val="0"/>
          <w:szCs w:val="18"/>
        </w:rPr>
        <w:t>.</w:t>
      </w:r>
      <w:r w:rsidR="002146AB" w:rsidRPr="009B697A">
        <w:rPr>
          <w:rFonts w:eastAsia="SimSun"/>
          <w:b/>
          <w:bCs/>
          <w:kern w:val="0"/>
          <w:szCs w:val="18"/>
        </w:rPr>
        <w:t xml:space="preserve"> </w:t>
      </w:r>
      <w:r w:rsidR="00970CE8" w:rsidRPr="009B697A">
        <w:rPr>
          <w:rFonts w:eastAsia="SimSun"/>
          <w:b/>
          <w:bCs/>
          <w:kern w:val="0"/>
          <w:szCs w:val="18"/>
        </w:rPr>
        <w:t xml:space="preserve">The proposed design style utilizes STT-Latches that their sensing reliability is </w:t>
      </w:r>
      <w:proofErr w:type="gramStart"/>
      <w:r w:rsidR="00970CE8" w:rsidRPr="009B697A">
        <w:rPr>
          <w:rFonts w:eastAsia="SimSun"/>
          <w:b/>
          <w:bCs/>
          <w:kern w:val="0"/>
          <w:szCs w:val="18"/>
        </w:rPr>
        <w:t>key</w:t>
      </w:r>
      <w:proofErr w:type="gramEnd"/>
      <w:r w:rsidR="00970CE8" w:rsidRPr="009B697A">
        <w:rPr>
          <w:rFonts w:eastAsia="SimSun"/>
          <w:b/>
          <w:bCs/>
          <w:kern w:val="0"/>
          <w:szCs w:val="18"/>
        </w:rPr>
        <w:t xml:space="preserve"> in determining the overall reliability of the proposed static STT-LUT</w:t>
      </w:r>
      <w:r w:rsidR="002146AB" w:rsidRPr="009B697A">
        <w:rPr>
          <w:rFonts w:eastAsia="SimSun"/>
          <w:b/>
          <w:bCs/>
          <w:kern w:val="0"/>
          <w:szCs w:val="18"/>
        </w:rPr>
        <w:t>.</w:t>
      </w:r>
      <w:r w:rsidR="002D4AF4" w:rsidRPr="009B697A">
        <w:rPr>
          <w:rFonts w:eastAsia="SimSun"/>
          <w:b/>
          <w:bCs/>
          <w:kern w:val="0"/>
          <w:szCs w:val="18"/>
        </w:rPr>
        <w:t xml:space="preserve"> </w:t>
      </w:r>
      <w:r w:rsidR="00EF6A89" w:rsidRPr="009B697A">
        <w:rPr>
          <w:rFonts w:eastAsia="SimSun"/>
          <w:b/>
          <w:bCs/>
          <w:kern w:val="0"/>
          <w:szCs w:val="18"/>
        </w:rPr>
        <w:t xml:space="preserve">The simulation results in a </w:t>
      </w:r>
      <w:r w:rsidR="00970CE8" w:rsidRPr="009B697A">
        <w:rPr>
          <w:rFonts w:eastAsia="SimSun"/>
          <w:b/>
          <w:bCs/>
          <w:kern w:val="0"/>
          <w:szCs w:val="18"/>
        </w:rPr>
        <w:t>10nm</w:t>
      </w:r>
      <w:r w:rsidR="00EF6A89" w:rsidRPr="009B697A">
        <w:rPr>
          <w:rFonts w:eastAsia="SimSun"/>
          <w:b/>
          <w:bCs/>
          <w:kern w:val="0"/>
          <w:szCs w:val="18"/>
        </w:rPr>
        <w:t xml:space="preserve"> </w:t>
      </w:r>
      <w:proofErr w:type="spellStart"/>
      <w:r w:rsidR="00970CE8" w:rsidRPr="009B697A">
        <w:rPr>
          <w:rFonts w:eastAsia="SimSun"/>
          <w:b/>
          <w:bCs/>
          <w:kern w:val="0"/>
          <w:szCs w:val="18"/>
        </w:rPr>
        <w:t>FinFET</w:t>
      </w:r>
      <w:proofErr w:type="spellEnd"/>
      <w:r w:rsidR="00641F38" w:rsidRPr="009B697A">
        <w:rPr>
          <w:rFonts w:eastAsia="SimSun"/>
          <w:b/>
          <w:bCs/>
          <w:kern w:val="0"/>
          <w:szCs w:val="18"/>
        </w:rPr>
        <w:t xml:space="preserve"> CMOS </w:t>
      </w:r>
      <w:r w:rsidR="00EF6A89" w:rsidRPr="009B697A">
        <w:rPr>
          <w:rFonts w:eastAsia="SimSun"/>
          <w:b/>
          <w:bCs/>
          <w:kern w:val="0"/>
          <w:szCs w:val="18"/>
        </w:rPr>
        <w:t xml:space="preserve">technology shows that the proposed </w:t>
      </w:r>
      <w:r w:rsidR="00970CE8" w:rsidRPr="009B697A">
        <w:rPr>
          <w:rFonts w:eastAsia="SimSun"/>
          <w:b/>
          <w:bCs/>
          <w:kern w:val="0"/>
          <w:szCs w:val="18"/>
        </w:rPr>
        <w:t xml:space="preserve">static STT-LUT </w:t>
      </w:r>
      <w:r w:rsidR="00EF6A89" w:rsidRPr="009B697A">
        <w:rPr>
          <w:rFonts w:eastAsia="SimSun"/>
          <w:b/>
          <w:bCs/>
          <w:kern w:val="0"/>
          <w:szCs w:val="18"/>
        </w:rPr>
        <w:t>design exhibits</w:t>
      </w:r>
      <w:r w:rsidR="00641F38" w:rsidRPr="009B697A">
        <w:rPr>
          <w:rFonts w:eastAsia="SimSun"/>
          <w:b/>
          <w:bCs/>
          <w:kern w:val="0"/>
          <w:szCs w:val="18"/>
        </w:rPr>
        <w:t xml:space="preserve"> up </w:t>
      </w:r>
      <w:proofErr w:type="gramStart"/>
      <w:r w:rsidR="00641F38" w:rsidRPr="009B697A">
        <w:rPr>
          <w:rFonts w:eastAsia="SimSun"/>
          <w:b/>
          <w:bCs/>
          <w:kern w:val="0"/>
          <w:szCs w:val="18"/>
        </w:rPr>
        <w:t>to</w:t>
      </w:r>
      <w:r w:rsidR="00EF6A89" w:rsidRPr="009B697A">
        <w:rPr>
          <w:rFonts w:eastAsia="SimSun"/>
          <w:b/>
          <w:bCs/>
          <w:kern w:val="0"/>
          <w:szCs w:val="18"/>
        </w:rPr>
        <w:t xml:space="preserve"> </w:t>
      </w:r>
      <w:r w:rsidR="00970CE8" w:rsidRPr="009B697A">
        <w:rPr>
          <w:rFonts w:eastAsia="SimSun"/>
          <w:b/>
          <w:bCs/>
          <w:kern w:val="0"/>
          <w:szCs w:val="18"/>
        </w:rPr>
        <w:t>??</w:t>
      </w:r>
      <w:proofErr w:type="gramEnd"/>
      <w:r w:rsidR="002158F5" w:rsidRPr="009B697A">
        <w:rPr>
          <w:rFonts w:eastAsia="SimSun"/>
          <w:b/>
          <w:bCs/>
          <w:kern w:val="0"/>
          <w:szCs w:val="18"/>
        </w:rPr>
        <w:t>X</w:t>
      </w:r>
      <w:r w:rsidR="00EF6A89" w:rsidRPr="009B697A">
        <w:rPr>
          <w:rFonts w:eastAsia="SimSun"/>
          <w:b/>
          <w:bCs/>
          <w:kern w:val="0"/>
          <w:szCs w:val="18"/>
        </w:rPr>
        <w:t xml:space="preserve"> read delay reduction</w:t>
      </w:r>
      <w:proofErr w:type="gramStart"/>
      <w:r w:rsidR="00641F38" w:rsidRPr="009B697A">
        <w:rPr>
          <w:rFonts w:eastAsia="SimSun"/>
          <w:b/>
          <w:bCs/>
          <w:kern w:val="0"/>
          <w:szCs w:val="18"/>
        </w:rPr>
        <w:t xml:space="preserve">, </w:t>
      </w:r>
      <w:r w:rsidR="00970CE8" w:rsidRPr="009B697A">
        <w:rPr>
          <w:rFonts w:eastAsia="SimSun"/>
          <w:b/>
          <w:bCs/>
          <w:kern w:val="0"/>
          <w:szCs w:val="18"/>
        </w:rPr>
        <w:t>??</w:t>
      </w:r>
      <w:proofErr w:type="gramEnd"/>
      <w:r w:rsidR="002158F5" w:rsidRPr="009B697A">
        <w:rPr>
          <w:rFonts w:eastAsia="SimSun"/>
          <w:b/>
          <w:bCs/>
          <w:kern w:val="0"/>
          <w:szCs w:val="18"/>
        </w:rPr>
        <w:t>X</w:t>
      </w:r>
      <w:r w:rsidR="00641F38" w:rsidRPr="009B697A">
        <w:rPr>
          <w:rFonts w:eastAsia="SimSun"/>
          <w:b/>
          <w:bCs/>
          <w:kern w:val="0"/>
          <w:szCs w:val="18"/>
        </w:rPr>
        <w:t xml:space="preserve"> active power reduction,</w:t>
      </w:r>
      <w:r w:rsidR="00EF6A89" w:rsidRPr="009B697A">
        <w:rPr>
          <w:rFonts w:eastAsia="SimSun"/>
          <w:b/>
          <w:bCs/>
          <w:kern w:val="0"/>
          <w:szCs w:val="18"/>
        </w:rPr>
        <w:t xml:space="preserve"> </w:t>
      </w:r>
      <w:proofErr w:type="gramStart"/>
      <w:r w:rsidR="00EF6A89" w:rsidRPr="009B697A">
        <w:rPr>
          <w:rFonts w:eastAsia="SimSun"/>
          <w:b/>
          <w:bCs/>
          <w:kern w:val="0"/>
          <w:szCs w:val="18"/>
        </w:rPr>
        <w:t xml:space="preserve">and </w:t>
      </w:r>
      <w:r w:rsidR="00970CE8" w:rsidRPr="009B697A">
        <w:rPr>
          <w:rFonts w:eastAsia="SimSun"/>
          <w:b/>
          <w:bCs/>
          <w:kern w:val="0"/>
          <w:szCs w:val="18"/>
        </w:rPr>
        <w:t>???</w:t>
      </w:r>
      <w:r w:rsidR="002158F5" w:rsidRPr="009B697A">
        <w:rPr>
          <w:rFonts w:eastAsia="SimSun"/>
          <w:b/>
          <w:bCs/>
          <w:kern w:val="0"/>
          <w:szCs w:val="18"/>
        </w:rPr>
        <w:t>X</w:t>
      </w:r>
      <w:r w:rsidR="00EF6A89" w:rsidRPr="009B697A">
        <w:rPr>
          <w:rFonts w:eastAsia="SimSun"/>
          <w:b/>
          <w:bCs/>
          <w:kern w:val="0"/>
          <w:szCs w:val="18"/>
        </w:rPr>
        <w:t xml:space="preserve"> </w:t>
      </w:r>
      <w:r w:rsidR="00641F38" w:rsidRPr="009B697A">
        <w:rPr>
          <w:rFonts w:eastAsia="SimSun"/>
          <w:b/>
          <w:bCs/>
          <w:kern w:val="0"/>
          <w:szCs w:val="18"/>
        </w:rPr>
        <w:t>sensing failure rate reduction</w:t>
      </w:r>
      <w:r w:rsidR="00EF6A89" w:rsidRPr="009B697A">
        <w:rPr>
          <w:rFonts w:eastAsia="SimSun"/>
          <w:b/>
          <w:bCs/>
          <w:kern w:val="0"/>
          <w:szCs w:val="18"/>
        </w:rPr>
        <w:t xml:space="preserve"> compared to the </w:t>
      </w:r>
      <w:r w:rsidR="00641F38" w:rsidRPr="009B697A">
        <w:rPr>
          <w:rFonts w:eastAsia="SimSun"/>
          <w:b/>
          <w:bCs/>
          <w:kern w:val="0"/>
          <w:szCs w:val="18"/>
        </w:rPr>
        <w:t xml:space="preserve">best </w:t>
      </w:r>
      <w:r w:rsidR="00970CE8" w:rsidRPr="009B697A">
        <w:rPr>
          <w:rFonts w:eastAsia="SimSun"/>
          <w:b/>
          <w:bCs/>
          <w:kern w:val="0"/>
          <w:szCs w:val="18"/>
        </w:rPr>
        <w:t>dynamic</w:t>
      </w:r>
      <w:r w:rsidR="00EF6A89" w:rsidRPr="009B697A">
        <w:rPr>
          <w:rFonts w:eastAsia="SimSun"/>
          <w:b/>
          <w:bCs/>
          <w:kern w:val="0"/>
          <w:szCs w:val="18"/>
        </w:rPr>
        <w:t xml:space="preserve"> </w:t>
      </w:r>
      <w:r w:rsidR="00641F38" w:rsidRPr="009B697A">
        <w:rPr>
          <w:rFonts w:eastAsia="SimSun"/>
          <w:b/>
          <w:bCs/>
          <w:kern w:val="0"/>
          <w:szCs w:val="18"/>
        </w:rPr>
        <w:t xml:space="preserve">STT-LUT </w:t>
      </w:r>
      <w:r w:rsidR="00EF6A89" w:rsidRPr="009B697A">
        <w:rPr>
          <w:rFonts w:eastAsia="SimSun"/>
          <w:b/>
          <w:bCs/>
          <w:kern w:val="0"/>
          <w:szCs w:val="18"/>
        </w:rPr>
        <w:t>design.</w:t>
      </w:r>
      <w:proofErr w:type="gramEnd"/>
      <w:r w:rsidR="008B197E" w:rsidRPr="009B697A">
        <w:rPr>
          <w:rFonts w:eastAsia="SimSun"/>
          <w:b/>
          <w:bCs/>
          <w:kern w:val="0"/>
          <w:szCs w:val="18"/>
        </w:rPr>
        <w:t xml:space="preserve">  </w:t>
      </w:r>
    </w:p>
    <w:p w:rsidR="009B697A" w:rsidRDefault="009B697A" w:rsidP="00EF6A89">
      <w:pPr>
        <w:spacing w:after="120"/>
      </w:pPr>
    </w:p>
    <w:p w:rsidR="008B197E" w:rsidRPr="009B697A" w:rsidRDefault="009B697A" w:rsidP="00EF6A89">
      <w:pPr>
        <w:spacing w:after="120"/>
        <w:rPr>
          <w:b/>
          <w:bCs/>
          <w:i/>
          <w:iCs/>
        </w:rPr>
      </w:pPr>
      <w:r w:rsidRPr="009B697A">
        <w:rPr>
          <w:b/>
          <w:bCs/>
          <w:i/>
          <w:iCs/>
        </w:rPr>
        <w:t>Keywords—</w:t>
      </w:r>
      <w:r w:rsidR="00EF6A89" w:rsidRPr="009B697A">
        <w:rPr>
          <w:b/>
          <w:bCs/>
          <w:i/>
          <w:iCs/>
        </w:rPr>
        <w:t>Look up table; low power; magnetic tunnel junction; reconfigurable logic; spin transfer torque</w:t>
      </w:r>
      <w:r w:rsidR="008B197E" w:rsidRPr="009B697A">
        <w:rPr>
          <w:b/>
          <w:bCs/>
          <w:i/>
          <w:iCs/>
        </w:rPr>
        <w:t>.</w:t>
      </w:r>
    </w:p>
    <w:p w:rsidR="008B197E" w:rsidRDefault="008B197E">
      <w:pPr>
        <w:pStyle w:val="Heading1"/>
        <w:spacing w:before="120"/>
      </w:pPr>
      <w:r>
        <w:t>INTRODUCTION</w:t>
      </w:r>
    </w:p>
    <w:tbl>
      <w:tblPr>
        <w:tblStyle w:val="TableGrid"/>
        <w:tblpPr w:leftFromText="180" w:rightFromText="180" w:vertAnchor="text" w:horzAnchor="margin" w:tblpXSpec="right" w:tblpY="8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8"/>
        <w:gridCol w:w="2300"/>
      </w:tblGrid>
      <w:tr w:rsidR="00390F58" w:rsidTr="000A160C">
        <w:tc>
          <w:tcPr>
            <w:tcW w:w="2718" w:type="dxa"/>
          </w:tcPr>
          <w:p w:rsidR="00390F58" w:rsidRDefault="00390F58" w:rsidP="000A160C">
            <w:pPr>
              <w:pStyle w:val="BodyTextIndent"/>
              <w:spacing w:after="120"/>
              <w:ind w:firstLine="0"/>
              <w:jc w:val="center"/>
            </w:pPr>
            <w:r>
              <w:rPr>
                <w:noProof/>
              </w:rPr>
              <w:drawing>
                <wp:inline distT="0" distB="0" distL="0" distR="0" wp14:anchorId="2B91A28E" wp14:editId="0D15FAC1">
                  <wp:extent cx="1677476" cy="728210"/>
                  <wp:effectExtent l="0" t="0" r="0" b="0"/>
                  <wp:docPr id="77829" name="Picture 7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05" t="5131" r="4427"/>
                          <a:stretch/>
                        </pic:blipFill>
                        <pic:spPr bwMode="auto">
                          <a:xfrm>
                            <a:off x="0" y="0"/>
                            <a:ext cx="1679848" cy="729240"/>
                          </a:xfrm>
                          <a:prstGeom prst="rect">
                            <a:avLst/>
                          </a:prstGeom>
                          <a:noFill/>
                          <a:ln>
                            <a:noFill/>
                          </a:ln>
                          <a:extLst>
                            <a:ext uri="{53640926-AAD7-44D8-BBD7-CCE9431645EC}">
                              <a14:shadowObscured xmlns:a14="http://schemas.microsoft.com/office/drawing/2010/main"/>
                            </a:ext>
                          </a:extLst>
                        </pic:spPr>
                      </pic:pic>
                    </a:graphicData>
                  </a:graphic>
                </wp:inline>
              </w:drawing>
            </w:r>
          </w:p>
          <w:p w:rsidR="00390F58" w:rsidRDefault="00390F58" w:rsidP="000A160C">
            <w:pPr>
              <w:pStyle w:val="BodyTextIndent"/>
              <w:spacing w:after="120"/>
              <w:ind w:firstLine="0"/>
              <w:jc w:val="center"/>
            </w:pPr>
            <w:r>
              <w:t>(a)</w:t>
            </w:r>
          </w:p>
        </w:tc>
        <w:tc>
          <w:tcPr>
            <w:tcW w:w="2300" w:type="dxa"/>
          </w:tcPr>
          <w:p w:rsidR="00390F58" w:rsidRDefault="00390F58" w:rsidP="000A160C">
            <w:pPr>
              <w:pStyle w:val="BodyTextIndent"/>
              <w:spacing w:after="120"/>
              <w:ind w:firstLine="0"/>
              <w:jc w:val="center"/>
            </w:pPr>
            <w:r>
              <w:rPr>
                <w:noProof/>
              </w:rPr>
              <w:drawing>
                <wp:inline distT="0" distB="0" distL="0" distR="0" wp14:anchorId="1F417770" wp14:editId="2D8FB571">
                  <wp:extent cx="1232992" cy="955469"/>
                  <wp:effectExtent l="0" t="0" r="0" b="0"/>
                  <wp:docPr id="77828" name="Picture 77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583"/>
                          <a:stretch/>
                        </pic:blipFill>
                        <pic:spPr bwMode="auto">
                          <a:xfrm>
                            <a:off x="0" y="0"/>
                            <a:ext cx="1233257" cy="955675"/>
                          </a:xfrm>
                          <a:prstGeom prst="rect">
                            <a:avLst/>
                          </a:prstGeom>
                          <a:noFill/>
                          <a:ln>
                            <a:noFill/>
                          </a:ln>
                          <a:extLst>
                            <a:ext uri="{53640926-AAD7-44D8-BBD7-CCE9431645EC}">
                              <a14:shadowObscured xmlns:a14="http://schemas.microsoft.com/office/drawing/2010/main"/>
                            </a:ext>
                          </a:extLst>
                        </pic:spPr>
                      </pic:pic>
                    </a:graphicData>
                  </a:graphic>
                </wp:inline>
              </w:drawing>
            </w:r>
            <w:r w:rsidRPr="00261FED">
              <w:t xml:space="preserve"> </w:t>
            </w:r>
            <w:r>
              <w:t>(b)</w:t>
            </w:r>
          </w:p>
        </w:tc>
      </w:tr>
      <w:tr w:rsidR="00390F58" w:rsidTr="000A160C">
        <w:tc>
          <w:tcPr>
            <w:tcW w:w="5018" w:type="dxa"/>
            <w:gridSpan w:val="2"/>
          </w:tcPr>
          <w:p w:rsidR="00390F58" w:rsidRDefault="00390F58" w:rsidP="000A160C">
            <w:pPr>
              <w:pStyle w:val="BodyTextIndent"/>
              <w:spacing w:after="120"/>
              <w:ind w:firstLine="0"/>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1</w:t>
            </w:r>
            <w:r>
              <w:rPr>
                <w:rFonts w:ascii="Times New Roman" w:eastAsia="Times New Roman" w:hAnsi="Times New Roman" w:cs="Miriam"/>
                <w:b/>
                <w:bCs/>
                <w:szCs w:val="18"/>
                <w:lang w:eastAsia="en-AU"/>
              </w:rPr>
              <w:t>.</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Perpendicular</w:t>
            </w:r>
            <w:r w:rsidRPr="006F1A8E">
              <w:rPr>
                <w:rFonts w:ascii="Times New Roman" w:eastAsia="Times New Roman" w:hAnsi="Times New Roman" w:cs="Miriam"/>
                <w:b/>
                <w:bCs/>
                <w:szCs w:val="18"/>
                <w:lang w:eastAsia="en-AU"/>
              </w:rPr>
              <w:t xml:space="preserve"> MTJ: (a) Parallel (low resistance) and anti-parallel (high resistance) states</w:t>
            </w:r>
            <w:r>
              <w:rPr>
                <w:rFonts w:ascii="Times New Roman" w:eastAsia="Times New Roman" w:hAnsi="Times New Roman" w:cs="Miriam"/>
                <w:b/>
                <w:bCs/>
                <w:szCs w:val="18"/>
                <w:lang w:eastAsia="en-AU"/>
              </w:rPr>
              <w:t>, (b) R-I characteristics</w:t>
            </w:r>
          </w:p>
        </w:tc>
      </w:tr>
    </w:tbl>
    <w:p w:rsidR="009B697A" w:rsidRDefault="009B697A" w:rsidP="009B697A">
      <w:pPr>
        <w:pStyle w:val="sponsors"/>
        <w:framePr w:wrap="auto" w:vAnchor="page" w:hAnchor="page" w:x="868" w:y="14401"/>
        <w:ind w:firstLine="289"/>
      </w:pPr>
      <w:r>
        <w:t>This research is funded by DARPA</w:t>
      </w:r>
      <w:r w:rsidRPr="007C0308">
        <w:rPr>
          <w:iCs/>
        </w:rPr>
        <w:t>.</w:t>
      </w:r>
    </w:p>
    <w:p w:rsidR="008B197E" w:rsidRPr="000A160C" w:rsidRDefault="00430BAA" w:rsidP="00554B89">
      <w:pPr>
        <w:pStyle w:val="BodyTextIndent"/>
        <w:ind w:firstLine="0"/>
        <w:rPr>
          <w:sz w:val="20"/>
          <w:szCs w:val="22"/>
        </w:rPr>
      </w:pPr>
      <w:r w:rsidRPr="000A160C">
        <w:rPr>
          <w:sz w:val="20"/>
          <w:szCs w:val="22"/>
        </w:rPr>
        <w:t xml:space="preserve">Scaling of the CMOS technology in </w:t>
      </w:r>
      <w:proofErr w:type="spellStart"/>
      <w:r w:rsidRPr="000A160C">
        <w:rPr>
          <w:sz w:val="20"/>
          <w:szCs w:val="22"/>
        </w:rPr>
        <w:t>nano</w:t>
      </w:r>
      <w:proofErr w:type="spellEnd"/>
      <w:r w:rsidRPr="000A160C">
        <w:rPr>
          <w:sz w:val="20"/>
          <w:szCs w:val="22"/>
        </w:rPr>
        <w:t>-scale faces challenges of excessive leakage and power consumption, as well as process variations and reliability issues. These problems are exacerbated in memory applications where minimum sized transistors are used and the leakage dominates the total power consumption. Such challenges have motivated research on alternative device</w:t>
      </w:r>
      <w:r w:rsidR="0017253C" w:rsidRPr="000A160C">
        <w:rPr>
          <w:sz w:val="20"/>
          <w:szCs w:val="22"/>
        </w:rPr>
        <w:t>s</w:t>
      </w:r>
      <w:r w:rsidRPr="000A160C">
        <w:rPr>
          <w:sz w:val="20"/>
          <w:szCs w:val="22"/>
        </w:rPr>
        <w:t xml:space="preserve"> and materials to extend the Moore’s law beyond 10nm. A promising alternative has been the Magnetic Tunnel Junction (MTJ) device for non-volatile information storage in </w:t>
      </w:r>
      <w:r w:rsidR="000F1C97" w:rsidRPr="000A160C">
        <w:rPr>
          <w:sz w:val="20"/>
          <w:szCs w:val="22"/>
        </w:rPr>
        <w:t xml:space="preserve">the </w:t>
      </w:r>
      <w:r w:rsidRPr="000A160C">
        <w:rPr>
          <w:sz w:val="20"/>
          <w:szCs w:val="22"/>
        </w:rPr>
        <w:t xml:space="preserve">magnetic form. An MTJ is </w:t>
      </w:r>
      <w:r w:rsidR="006F1A8E" w:rsidRPr="000A160C">
        <w:rPr>
          <w:sz w:val="20"/>
          <w:szCs w:val="22"/>
        </w:rPr>
        <w:t xml:space="preserve">formed </w:t>
      </w:r>
      <w:r w:rsidR="004D0DB8" w:rsidRPr="000A160C">
        <w:rPr>
          <w:sz w:val="20"/>
          <w:szCs w:val="22"/>
        </w:rPr>
        <w:t>by</w:t>
      </w:r>
      <w:r w:rsidR="006F1A8E" w:rsidRPr="000A160C">
        <w:rPr>
          <w:sz w:val="20"/>
          <w:szCs w:val="22"/>
        </w:rPr>
        <w:t xml:space="preserve"> two ferromagnetic layers st</w:t>
      </w:r>
      <w:r w:rsidR="004D0DB8" w:rsidRPr="000A160C">
        <w:rPr>
          <w:sz w:val="20"/>
          <w:szCs w:val="22"/>
        </w:rPr>
        <w:t>acked on each other with a thin</w:t>
      </w:r>
      <w:r w:rsidR="006F1A8E" w:rsidRPr="000A160C">
        <w:rPr>
          <w:sz w:val="20"/>
          <w:szCs w:val="22"/>
        </w:rPr>
        <w:t xml:space="preserve"> insulator in between</w:t>
      </w:r>
      <w:r w:rsidR="007A1BF0" w:rsidRPr="000A160C">
        <w:rPr>
          <w:sz w:val="20"/>
          <w:szCs w:val="22"/>
        </w:rPr>
        <w:t xml:space="preserve"> (Figure 1)</w:t>
      </w:r>
      <w:r w:rsidR="006F1A8E" w:rsidRPr="000A160C">
        <w:rPr>
          <w:sz w:val="20"/>
          <w:szCs w:val="22"/>
        </w:rPr>
        <w:t xml:space="preserve"> [</w:t>
      </w:r>
      <w:r w:rsidR="00156FB5" w:rsidRPr="000A160C">
        <w:rPr>
          <w:sz w:val="20"/>
          <w:szCs w:val="22"/>
        </w:rPr>
        <w:t>1</w:t>
      </w:r>
      <w:r w:rsidR="006F1A8E" w:rsidRPr="000A160C">
        <w:rPr>
          <w:sz w:val="20"/>
          <w:szCs w:val="22"/>
        </w:rPr>
        <w:t xml:space="preserve">]. This structure is compatible with the standard CMOS process and can be </w:t>
      </w:r>
      <w:r w:rsidR="006F1A8E" w:rsidRPr="000A160C">
        <w:rPr>
          <w:sz w:val="20"/>
          <w:szCs w:val="22"/>
        </w:rPr>
        <w:lastRenderedPageBreak/>
        <w:t>manufactured on top of transistors in between two top metallization layers [</w:t>
      </w:r>
      <w:r w:rsidR="00791134" w:rsidRPr="000A160C">
        <w:rPr>
          <w:sz w:val="20"/>
          <w:szCs w:val="22"/>
        </w:rPr>
        <w:t>2</w:t>
      </w:r>
      <w:r w:rsidR="006F1A8E" w:rsidRPr="000A160C">
        <w:rPr>
          <w:sz w:val="20"/>
          <w:szCs w:val="22"/>
        </w:rPr>
        <w:t xml:space="preserve">]. One of the ferromagnetic layers </w:t>
      </w:r>
      <w:r w:rsidR="000A1FAA" w:rsidRPr="000A160C">
        <w:rPr>
          <w:sz w:val="20"/>
          <w:szCs w:val="22"/>
        </w:rPr>
        <w:t xml:space="preserve">(pinned layer) </w:t>
      </w:r>
      <w:r w:rsidR="006F1A8E" w:rsidRPr="000A160C">
        <w:rPr>
          <w:sz w:val="20"/>
          <w:szCs w:val="22"/>
        </w:rPr>
        <w:t>has a hard or fixed magnetization orientation while the magnetization of the other layer</w:t>
      </w:r>
      <w:r w:rsidR="000A1FAA" w:rsidRPr="000A160C">
        <w:rPr>
          <w:sz w:val="20"/>
          <w:szCs w:val="22"/>
        </w:rPr>
        <w:t xml:space="preserve"> (free layer)</w:t>
      </w:r>
      <w:r w:rsidR="006F1A8E" w:rsidRPr="000A160C">
        <w:rPr>
          <w:sz w:val="20"/>
          <w:szCs w:val="22"/>
        </w:rPr>
        <w:t xml:space="preserve"> is programmable to be in one of two orientations</w:t>
      </w:r>
      <w:r w:rsidR="0017253C" w:rsidRPr="000A160C">
        <w:rPr>
          <w:sz w:val="20"/>
          <w:szCs w:val="22"/>
        </w:rPr>
        <w:t>: parallel (P) or anti-parallel (AP) to the magnetic orientation of the pinned layer</w:t>
      </w:r>
      <w:r w:rsidR="006F1A8E" w:rsidRPr="000A160C">
        <w:rPr>
          <w:sz w:val="20"/>
          <w:szCs w:val="22"/>
        </w:rPr>
        <w:t xml:space="preserve">. The insulator has to be thin enough to allow for tunneling current once the MTJ is biased at </w:t>
      </w:r>
      <w:r w:rsidR="00554B89" w:rsidRPr="000A160C">
        <w:rPr>
          <w:sz w:val="20"/>
          <w:szCs w:val="22"/>
        </w:rPr>
        <w:t xml:space="preserve">the </w:t>
      </w:r>
      <w:r w:rsidR="006F1A8E" w:rsidRPr="000A160C">
        <w:rPr>
          <w:sz w:val="20"/>
          <w:szCs w:val="22"/>
        </w:rPr>
        <w:t xml:space="preserve">nominal supply voltage. </w:t>
      </w:r>
      <w:proofErr w:type="gramStart"/>
      <w:r w:rsidR="006F1A8E" w:rsidRPr="000A160C">
        <w:rPr>
          <w:sz w:val="20"/>
          <w:szCs w:val="22"/>
        </w:rPr>
        <w:t xml:space="preserve">Depending on the relative magnetization of the two layers, the effective resistance of the MTJ changes between low </w:t>
      </w:r>
      <w:r w:rsidR="001E7EFF" w:rsidRPr="000A160C">
        <w:rPr>
          <w:sz w:val="20"/>
          <w:szCs w:val="22"/>
        </w:rPr>
        <w:t>(R</w:t>
      </w:r>
      <w:r w:rsidR="001E7EFF" w:rsidRPr="000A160C">
        <w:rPr>
          <w:sz w:val="20"/>
          <w:szCs w:val="22"/>
          <w:vertAlign w:val="subscript"/>
        </w:rPr>
        <w:t>P</w:t>
      </w:r>
      <w:r w:rsidR="001E7EFF" w:rsidRPr="000A160C">
        <w:rPr>
          <w:sz w:val="20"/>
          <w:szCs w:val="22"/>
        </w:rPr>
        <w:t xml:space="preserve">) </w:t>
      </w:r>
      <w:r w:rsidR="006F1A8E" w:rsidRPr="000A160C">
        <w:rPr>
          <w:sz w:val="20"/>
          <w:szCs w:val="22"/>
        </w:rPr>
        <w:t xml:space="preserve">and high </w:t>
      </w:r>
      <w:r w:rsidR="001E7EFF" w:rsidRPr="000A160C">
        <w:rPr>
          <w:sz w:val="20"/>
          <w:szCs w:val="22"/>
        </w:rPr>
        <w:t>(R</w:t>
      </w:r>
      <w:r w:rsidR="001E7EFF" w:rsidRPr="000A160C">
        <w:rPr>
          <w:sz w:val="20"/>
          <w:szCs w:val="22"/>
          <w:vertAlign w:val="subscript"/>
        </w:rPr>
        <w:t>AP</w:t>
      </w:r>
      <w:r w:rsidR="006F1A8E" w:rsidRPr="000A160C">
        <w:rPr>
          <w:sz w:val="20"/>
          <w:szCs w:val="22"/>
        </w:rPr>
        <w:t>) resistances</w:t>
      </w:r>
      <w:r w:rsidR="000A1FAA" w:rsidRPr="000A160C">
        <w:rPr>
          <w:sz w:val="20"/>
          <w:szCs w:val="22"/>
        </w:rPr>
        <w:t xml:space="preserve">, representing binary logic </w:t>
      </w:r>
      <w:r w:rsidR="0017253C" w:rsidRPr="000A160C">
        <w:rPr>
          <w:sz w:val="20"/>
          <w:szCs w:val="22"/>
        </w:rPr>
        <w:t>“</w:t>
      </w:r>
      <w:r w:rsidR="000A1FAA" w:rsidRPr="000A160C">
        <w:rPr>
          <w:sz w:val="20"/>
          <w:szCs w:val="22"/>
        </w:rPr>
        <w:t>0</w:t>
      </w:r>
      <w:r w:rsidR="0017253C" w:rsidRPr="000A160C">
        <w:rPr>
          <w:sz w:val="20"/>
          <w:szCs w:val="22"/>
        </w:rPr>
        <w:t>”</w:t>
      </w:r>
      <w:r w:rsidR="000A1FAA" w:rsidRPr="000A160C">
        <w:rPr>
          <w:sz w:val="20"/>
          <w:szCs w:val="22"/>
        </w:rPr>
        <w:t xml:space="preserve"> and </w:t>
      </w:r>
      <w:r w:rsidR="0017253C" w:rsidRPr="000A160C">
        <w:rPr>
          <w:sz w:val="20"/>
          <w:szCs w:val="22"/>
        </w:rPr>
        <w:t>“</w:t>
      </w:r>
      <w:r w:rsidR="000A1FAA" w:rsidRPr="000A160C">
        <w:rPr>
          <w:sz w:val="20"/>
          <w:szCs w:val="22"/>
        </w:rPr>
        <w:t>1</w:t>
      </w:r>
      <w:r w:rsidR="0017253C" w:rsidRPr="000A160C">
        <w:rPr>
          <w:sz w:val="20"/>
          <w:szCs w:val="22"/>
        </w:rPr>
        <w:t>”</w:t>
      </w:r>
      <w:r w:rsidR="000A1FAA" w:rsidRPr="000A160C">
        <w:rPr>
          <w:sz w:val="20"/>
          <w:szCs w:val="22"/>
        </w:rPr>
        <w:t xml:space="preserve"> states</w:t>
      </w:r>
      <w:r w:rsidR="006F1A8E" w:rsidRPr="000A160C">
        <w:rPr>
          <w:sz w:val="20"/>
          <w:szCs w:val="22"/>
        </w:rPr>
        <w:t>.</w:t>
      </w:r>
      <w:proofErr w:type="gramEnd"/>
      <w:r w:rsidR="000A1FAA" w:rsidRPr="000A160C">
        <w:rPr>
          <w:sz w:val="20"/>
          <w:szCs w:val="22"/>
        </w:rPr>
        <w:t xml:space="preserve"> The flipping of the magnetization of the free layer (i.e. the write operation) can occur via passing sufficiently large current through the MTJ.</w:t>
      </w:r>
      <w:r w:rsidR="006F1A8E" w:rsidRPr="000A160C">
        <w:rPr>
          <w:sz w:val="20"/>
          <w:szCs w:val="22"/>
        </w:rPr>
        <w:t xml:space="preserve"> </w:t>
      </w:r>
      <w:r w:rsidR="000A1FAA" w:rsidRPr="000A160C">
        <w:rPr>
          <w:sz w:val="20"/>
          <w:szCs w:val="22"/>
        </w:rPr>
        <w:t>The physical mechanism by which the write operation occurs is the magnetic torque created by the spin polarized electrons passing</w:t>
      </w:r>
      <w:r w:rsidR="001E7EFF" w:rsidRPr="000A160C">
        <w:rPr>
          <w:sz w:val="20"/>
          <w:szCs w:val="22"/>
        </w:rPr>
        <w:t xml:space="preserve"> through</w:t>
      </w:r>
      <w:r w:rsidR="000A1FAA" w:rsidRPr="000A160C">
        <w:rPr>
          <w:sz w:val="20"/>
          <w:szCs w:val="22"/>
        </w:rPr>
        <w:t xml:space="preserve"> or reflect</w:t>
      </w:r>
      <w:r w:rsidR="001E7EFF" w:rsidRPr="000A160C">
        <w:rPr>
          <w:sz w:val="20"/>
          <w:szCs w:val="22"/>
        </w:rPr>
        <w:t>ed</w:t>
      </w:r>
      <w:r w:rsidR="000A1FAA" w:rsidRPr="000A160C">
        <w:rPr>
          <w:sz w:val="20"/>
          <w:szCs w:val="22"/>
        </w:rPr>
        <w:t xml:space="preserve"> </w:t>
      </w:r>
      <w:r w:rsidR="001E7EFF" w:rsidRPr="000A160C">
        <w:rPr>
          <w:sz w:val="20"/>
          <w:szCs w:val="22"/>
        </w:rPr>
        <w:t xml:space="preserve">from </w:t>
      </w:r>
      <w:r w:rsidR="000A1FAA" w:rsidRPr="000A160C">
        <w:rPr>
          <w:sz w:val="20"/>
          <w:szCs w:val="22"/>
        </w:rPr>
        <w:t>the pinned layer to the free layer. This mechanism is referred to as Spin Transfer Torque (STT).</w:t>
      </w:r>
    </w:p>
    <w:p w:rsidR="007A1BF0" w:rsidRPr="000A160C" w:rsidRDefault="000A1FAA" w:rsidP="00315F3F">
      <w:pPr>
        <w:pStyle w:val="BodyTextIndent"/>
        <w:ind w:firstLine="0"/>
        <w:rPr>
          <w:sz w:val="20"/>
          <w:szCs w:val="22"/>
        </w:rPr>
      </w:pPr>
      <w:r w:rsidRPr="000A160C">
        <w:rPr>
          <w:sz w:val="20"/>
          <w:szCs w:val="22"/>
        </w:rPr>
        <w:t xml:space="preserve">The primary application of STT has been in memory application (STTRAM). STTRAM offers a CMOS compatible and non-volatile memory and hence a zero leakage alternative to SRAM. </w:t>
      </w:r>
      <w:r w:rsidR="0073037A" w:rsidRPr="000A160C">
        <w:rPr>
          <w:sz w:val="20"/>
          <w:szCs w:val="22"/>
        </w:rPr>
        <w:t>However, the main challenge remains to be the relatively high current and delay needed for the write operation [</w:t>
      </w:r>
      <w:r w:rsidR="00315F3F" w:rsidRPr="000A160C">
        <w:rPr>
          <w:sz w:val="20"/>
          <w:szCs w:val="22"/>
        </w:rPr>
        <w:t>3</w:t>
      </w:r>
      <w:r w:rsidR="0073037A" w:rsidRPr="000A160C">
        <w:rPr>
          <w:sz w:val="20"/>
          <w:szCs w:val="22"/>
        </w:rPr>
        <w:t xml:space="preserve">]. </w:t>
      </w:r>
      <w:r w:rsidR="001E7EFF" w:rsidRPr="000A160C">
        <w:rPr>
          <w:sz w:val="20"/>
          <w:szCs w:val="22"/>
        </w:rPr>
        <w:t>STTRAM is particularly suited</w:t>
      </w:r>
      <w:r w:rsidR="0073037A" w:rsidRPr="000A160C">
        <w:rPr>
          <w:sz w:val="20"/>
          <w:szCs w:val="22"/>
        </w:rPr>
        <w:t xml:space="preserve"> for realizing non-volatile and CMOS compatible programmable logic such as on-chip FPGA in which the write operation is infrequent. The basic programmable logic element is a look-up table that utilizes MTJs for storage (STT-LUT) [</w:t>
      </w:r>
      <w:r w:rsidR="00315F3F" w:rsidRPr="000A160C">
        <w:rPr>
          <w:sz w:val="20"/>
          <w:szCs w:val="22"/>
        </w:rPr>
        <w:t>4</w:t>
      </w:r>
      <w:proofErr w:type="gramStart"/>
      <w:r w:rsidR="00315F3F" w:rsidRPr="000A160C">
        <w:rPr>
          <w:sz w:val="20"/>
          <w:szCs w:val="22"/>
        </w:rPr>
        <w:t>,5</w:t>
      </w:r>
      <w:proofErr w:type="gramEnd"/>
      <w:r w:rsidR="0073037A" w:rsidRPr="000A160C">
        <w:rPr>
          <w:sz w:val="20"/>
          <w:szCs w:val="22"/>
        </w:rPr>
        <w:t xml:space="preserve">]. </w:t>
      </w:r>
    </w:p>
    <w:p w:rsidR="009B697A" w:rsidRPr="000A160C" w:rsidRDefault="009B697A" w:rsidP="000A160C">
      <w:pPr>
        <w:pStyle w:val="BodyTextIndent"/>
        <w:ind w:firstLine="0"/>
        <w:rPr>
          <w:sz w:val="20"/>
          <w:szCs w:val="22"/>
        </w:rPr>
      </w:pPr>
      <w:r w:rsidRPr="000A160C">
        <w:rPr>
          <w:sz w:val="20"/>
          <w:szCs w:val="22"/>
        </w:rPr>
        <w:t>E</w:t>
      </w:r>
      <w:r w:rsidR="00387340" w:rsidRPr="000A160C">
        <w:rPr>
          <w:sz w:val="20"/>
          <w:szCs w:val="22"/>
        </w:rPr>
        <w:t>x</w:t>
      </w:r>
      <w:r w:rsidRPr="000A160C">
        <w:rPr>
          <w:sz w:val="20"/>
          <w:szCs w:val="22"/>
        </w:rPr>
        <w:t>i</w:t>
      </w:r>
      <w:r w:rsidR="00387340" w:rsidRPr="000A160C">
        <w:rPr>
          <w:sz w:val="20"/>
          <w:szCs w:val="22"/>
        </w:rPr>
        <w:t>s</w:t>
      </w:r>
      <w:r w:rsidRPr="000A160C">
        <w:rPr>
          <w:sz w:val="20"/>
          <w:szCs w:val="22"/>
        </w:rPr>
        <w:t>tin</w:t>
      </w:r>
      <w:r w:rsidR="00387340" w:rsidRPr="000A160C">
        <w:rPr>
          <w:sz w:val="20"/>
          <w:szCs w:val="22"/>
        </w:rPr>
        <w:t>g</w:t>
      </w:r>
      <w:r w:rsidRPr="000A160C">
        <w:rPr>
          <w:sz w:val="20"/>
          <w:szCs w:val="22"/>
        </w:rPr>
        <w:t xml:space="preserve"> designs of </w:t>
      </w:r>
      <w:r w:rsidR="00387340" w:rsidRPr="000A160C">
        <w:rPr>
          <w:sz w:val="20"/>
          <w:szCs w:val="22"/>
        </w:rPr>
        <w:t>S</w:t>
      </w:r>
      <w:r w:rsidRPr="000A160C">
        <w:rPr>
          <w:sz w:val="20"/>
          <w:szCs w:val="22"/>
        </w:rPr>
        <w:t>TT-LUTs</w:t>
      </w:r>
      <w:r w:rsidR="00387340" w:rsidRPr="000A160C">
        <w:rPr>
          <w:sz w:val="20"/>
          <w:szCs w:val="22"/>
        </w:rPr>
        <w:t xml:space="preserve"> utilize a shared dynamic </w:t>
      </w:r>
      <w:proofErr w:type="spellStart"/>
      <w:r w:rsidR="00387340" w:rsidRPr="000A160C">
        <w:rPr>
          <w:sz w:val="20"/>
          <w:szCs w:val="22"/>
        </w:rPr>
        <w:t>precharge</w:t>
      </w:r>
      <w:proofErr w:type="spellEnd"/>
      <w:r w:rsidR="00387340" w:rsidRPr="000A160C">
        <w:rPr>
          <w:sz w:val="20"/>
          <w:szCs w:val="22"/>
        </w:rPr>
        <w:t xml:space="preserve"> sense amplifier to read the state of the MTJ selected by the inputs. The dynamic design of the shared </w:t>
      </w:r>
      <w:r w:rsidR="00387340" w:rsidRPr="000A160C">
        <w:rPr>
          <w:sz w:val="20"/>
          <w:szCs w:val="22"/>
        </w:rPr>
        <w:lastRenderedPageBreak/>
        <w:t xml:space="preserve">sense amplifier makes the entire STT-LUT a dynamic design. While </w:t>
      </w:r>
      <w:r w:rsidR="000A160C" w:rsidRPr="000A160C">
        <w:rPr>
          <w:sz w:val="20"/>
          <w:szCs w:val="22"/>
        </w:rPr>
        <w:t>dynamic</w:t>
      </w:r>
      <w:r w:rsidR="00387340" w:rsidRPr="000A160C">
        <w:rPr>
          <w:sz w:val="20"/>
          <w:szCs w:val="22"/>
        </w:rPr>
        <w:t xml:space="preserve"> </w:t>
      </w:r>
      <w:r w:rsidR="000A160C" w:rsidRPr="000A160C">
        <w:rPr>
          <w:sz w:val="20"/>
          <w:szCs w:val="22"/>
        </w:rPr>
        <w:t>designs</w:t>
      </w:r>
      <w:r w:rsidR="00387340" w:rsidRPr="000A160C">
        <w:rPr>
          <w:sz w:val="20"/>
          <w:szCs w:val="22"/>
        </w:rPr>
        <w:t xml:space="preserve"> have the advantage of speed</w:t>
      </w:r>
      <w:r w:rsidR="000A160C" w:rsidRPr="000A160C">
        <w:rPr>
          <w:sz w:val="20"/>
          <w:szCs w:val="22"/>
        </w:rPr>
        <w:t xml:space="preserve">, they suffer from high power consumption, less reliability, and difficulty in integration with static logic and lack of support by automated design flow tools. </w:t>
      </w:r>
    </w:p>
    <w:p w:rsidR="00562290" w:rsidRPr="000A160C" w:rsidRDefault="00562290" w:rsidP="000A160C">
      <w:pPr>
        <w:pStyle w:val="BodyTextIndent"/>
        <w:ind w:firstLine="0"/>
        <w:rPr>
          <w:sz w:val="20"/>
          <w:szCs w:val="22"/>
        </w:rPr>
      </w:pPr>
      <w:r w:rsidRPr="000A160C">
        <w:rPr>
          <w:sz w:val="20"/>
          <w:szCs w:val="22"/>
        </w:rPr>
        <w:t xml:space="preserve">In this paper, we propose </w:t>
      </w:r>
      <w:r w:rsidR="000A160C" w:rsidRPr="000A160C">
        <w:rPr>
          <w:sz w:val="20"/>
          <w:szCs w:val="22"/>
        </w:rPr>
        <w:t>a static approach to the design of STT-LUTs</w:t>
      </w:r>
      <w:r w:rsidR="00315F3F" w:rsidRPr="000A160C">
        <w:rPr>
          <w:sz w:val="20"/>
          <w:szCs w:val="22"/>
        </w:rPr>
        <w:t xml:space="preserve">, </w:t>
      </w:r>
      <w:r w:rsidR="000A160C" w:rsidRPr="000A160C">
        <w:rPr>
          <w:sz w:val="20"/>
          <w:szCs w:val="22"/>
        </w:rPr>
        <w:t>that</w:t>
      </w:r>
      <w:r w:rsidR="00315F3F" w:rsidRPr="000A160C">
        <w:rPr>
          <w:sz w:val="20"/>
          <w:szCs w:val="22"/>
        </w:rPr>
        <w:t xml:space="preserve"> offer</w:t>
      </w:r>
      <w:r w:rsidR="000A160C" w:rsidRPr="000A160C">
        <w:rPr>
          <w:sz w:val="20"/>
          <w:szCs w:val="22"/>
        </w:rPr>
        <w:t>s</w:t>
      </w:r>
      <w:r w:rsidRPr="000A160C">
        <w:rPr>
          <w:sz w:val="20"/>
          <w:szCs w:val="22"/>
        </w:rPr>
        <w:t xml:space="preserve"> improved power and </w:t>
      </w:r>
      <w:r w:rsidR="00315F3F" w:rsidRPr="000A160C">
        <w:rPr>
          <w:sz w:val="20"/>
          <w:szCs w:val="22"/>
        </w:rPr>
        <w:t>robustness</w:t>
      </w:r>
      <w:r w:rsidRPr="000A160C">
        <w:rPr>
          <w:sz w:val="20"/>
          <w:szCs w:val="22"/>
        </w:rPr>
        <w:t xml:space="preserve"> compared to the </w:t>
      </w:r>
      <w:r w:rsidR="000A160C" w:rsidRPr="000A160C">
        <w:rPr>
          <w:sz w:val="20"/>
          <w:szCs w:val="22"/>
        </w:rPr>
        <w:t>dynamic</w:t>
      </w:r>
      <w:r w:rsidRPr="000A160C">
        <w:rPr>
          <w:sz w:val="20"/>
          <w:szCs w:val="22"/>
        </w:rPr>
        <w:t xml:space="preserve"> designs</w:t>
      </w:r>
      <w:r w:rsidR="000A160C" w:rsidRPr="000A160C">
        <w:rPr>
          <w:sz w:val="20"/>
          <w:szCs w:val="22"/>
        </w:rPr>
        <w:t>, and ease of integration with the static logic and automated design flows</w:t>
      </w:r>
      <w:r w:rsidRPr="000A160C">
        <w:rPr>
          <w:sz w:val="20"/>
          <w:szCs w:val="22"/>
        </w:rPr>
        <w:t>. The contributions of the paper are as follows:</w:t>
      </w:r>
    </w:p>
    <w:p w:rsidR="00562290" w:rsidRPr="000A160C" w:rsidRDefault="00562290" w:rsidP="000A160C">
      <w:pPr>
        <w:pStyle w:val="BodyTextIndent"/>
        <w:numPr>
          <w:ilvl w:val="0"/>
          <w:numId w:val="3"/>
        </w:numPr>
        <w:rPr>
          <w:sz w:val="20"/>
          <w:szCs w:val="22"/>
        </w:rPr>
      </w:pPr>
      <w:r w:rsidRPr="000A160C">
        <w:rPr>
          <w:sz w:val="20"/>
          <w:szCs w:val="22"/>
        </w:rPr>
        <w:t xml:space="preserve">Proposing </w:t>
      </w:r>
      <w:r w:rsidR="000A160C">
        <w:rPr>
          <w:sz w:val="20"/>
          <w:szCs w:val="22"/>
        </w:rPr>
        <w:t>a static approach to the design of STT-LUTs</w:t>
      </w:r>
    </w:p>
    <w:p w:rsidR="00562290" w:rsidRPr="000A160C" w:rsidRDefault="00562290" w:rsidP="000A160C">
      <w:pPr>
        <w:pStyle w:val="BodyTextIndent"/>
        <w:numPr>
          <w:ilvl w:val="0"/>
          <w:numId w:val="3"/>
        </w:numPr>
        <w:rPr>
          <w:sz w:val="20"/>
          <w:szCs w:val="22"/>
        </w:rPr>
      </w:pPr>
      <w:r w:rsidRPr="000A160C">
        <w:rPr>
          <w:sz w:val="20"/>
          <w:szCs w:val="22"/>
        </w:rPr>
        <w:t xml:space="preserve">Improving the power and </w:t>
      </w:r>
      <w:r w:rsidR="00315F3F" w:rsidRPr="000A160C">
        <w:rPr>
          <w:sz w:val="20"/>
          <w:szCs w:val="22"/>
        </w:rPr>
        <w:t>robustness</w:t>
      </w:r>
      <w:r w:rsidRPr="000A160C">
        <w:rPr>
          <w:sz w:val="20"/>
          <w:szCs w:val="22"/>
        </w:rPr>
        <w:t xml:space="preserve"> of STT-LUT using the proposed </w:t>
      </w:r>
      <w:r w:rsidR="000A160C">
        <w:rPr>
          <w:sz w:val="20"/>
          <w:szCs w:val="22"/>
        </w:rPr>
        <w:t>approach</w:t>
      </w:r>
    </w:p>
    <w:p w:rsidR="00562290" w:rsidRDefault="00562290" w:rsidP="00315F3F">
      <w:pPr>
        <w:pStyle w:val="BodyTextIndent"/>
        <w:numPr>
          <w:ilvl w:val="0"/>
          <w:numId w:val="3"/>
        </w:numPr>
        <w:rPr>
          <w:sz w:val="20"/>
          <w:szCs w:val="22"/>
        </w:rPr>
      </w:pPr>
      <w:r w:rsidRPr="000A160C">
        <w:rPr>
          <w:sz w:val="20"/>
          <w:szCs w:val="22"/>
        </w:rPr>
        <w:t xml:space="preserve">Performing </w:t>
      </w:r>
      <w:r w:rsidR="00315F3F" w:rsidRPr="000A160C">
        <w:rPr>
          <w:sz w:val="20"/>
          <w:szCs w:val="22"/>
        </w:rPr>
        <w:t>robustness</w:t>
      </w:r>
      <w:r w:rsidRPr="000A160C">
        <w:rPr>
          <w:sz w:val="20"/>
          <w:szCs w:val="22"/>
        </w:rPr>
        <w:t xml:space="preserve"> comparisons by combined analysis of impact of </w:t>
      </w:r>
      <w:r w:rsidR="00315F3F" w:rsidRPr="000A160C">
        <w:rPr>
          <w:sz w:val="20"/>
          <w:szCs w:val="22"/>
        </w:rPr>
        <w:t>CMOS</w:t>
      </w:r>
      <w:r w:rsidRPr="000A160C">
        <w:rPr>
          <w:sz w:val="20"/>
          <w:szCs w:val="22"/>
        </w:rPr>
        <w:t xml:space="preserve"> and MTJ variations on </w:t>
      </w:r>
      <w:r w:rsidR="00315F3F" w:rsidRPr="000A160C">
        <w:rPr>
          <w:sz w:val="20"/>
          <w:szCs w:val="22"/>
        </w:rPr>
        <w:t>read sensing failure rate</w:t>
      </w:r>
      <w:r w:rsidRPr="000A160C">
        <w:rPr>
          <w:sz w:val="20"/>
          <w:szCs w:val="22"/>
        </w:rPr>
        <w:t>s</w:t>
      </w:r>
      <w:r w:rsidR="00315F3F" w:rsidRPr="000A160C">
        <w:rPr>
          <w:sz w:val="20"/>
          <w:szCs w:val="22"/>
        </w:rPr>
        <w:t xml:space="preserve"> of STT-LUTs</w:t>
      </w:r>
    </w:p>
    <w:p w:rsidR="000A160C" w:rsidRPr="000A160C" w:rsidRDefault="000A160C" w:rsidP="000A160C">
      <w:pPr>
        <w:pStyle w:val="BodyTextIndent"/>
        <w:numPr>
          <w:ilvl w:val="0"/>
          <w:numId w:val="3"/>
        </w:numPr>
        <w:rPr>
          <w:sz w:val="20"/>
          <w:szCs w:val="22"/>
        </w:rPr>
      </w:pPr>
      <w:r>
        <w:rPr>
          <w:sz w:val="20"/>
          <w:szCs w:val="22"/>
        </w:rPr>
        <w:t>Implementation of an adder benchmark circuit using the proposed STT-LUTs</w:t>
      </w:r>
    </w:p>
    <w:p w:rsidR="00562290" w:rsidRPr="000A160C" w:rsidRDefault="00562290" w:rsidP="005E7373">
      <w:pPr>
        <w:pStyle w:val="BodyTextIndent"/>
        <w:ind w:firstLine="0"/>
        <w:rPr>
          <w:sz w:val="20"/>
          <w:szCs w:val="22"/>
        </w:rPr>
      </w:pPr>
      <w:r w:rsidRPr="000A160C">
        <w:rPr>
          <w:sz w:val="20"/>
          <w:szCs w:val="22"/>
        </w:rPr>
        <w:t xml:space="preserve">The remainder of the paper is organized as follows. Section </w:t>
      </w:r>
      <w:r w:rsidR="00315F3F" w:rsidRPr="000A160C">
        <w:rPr>
          <w:sz w:val="20"/>
          <w:szCs w:val="22"/>
        </w:rPr>
        <w:t>2</w:t>
      </w:r>
      <w:r w:rsidRPr="000A160C">
        <w:rPr>
          <w:sz w:val="20"/>
          <w:szCs w:val="22"/>
        </w:rPr>
        <w:t xml:space="preserve"> offers a background on STT-LUT design and an overview of existing STT-LUT designs. Section </w:t>
      </w:r>
      <w:r w:rsidR="00315F3F" w:rsidRPr="000A160C">
        <w:rPr>
          <w:sz w:val="20"/>
          <w:szCs w:val="22"/>
        </w:rPr>
        <w:t>3</w:t>
      </w:r>
      <w:r w:rsidRPr="000A160C">
        <w:rPr>
          <w:sz w:val="20"/>
          <w:szCs w:val="22"/>
        </w:rPr>
        <w:t xml:space="preserve"> presents the proposed </w:t>
      </w:r>
      <w:r w:rsidR="005E7373">
        <w:rPr>
          <w:sz w:val="20"/>
          <w:szCs w:val="22"/>
        </w:rPr>
        <w:t>static approach to the design of STT-LUTs</w:t>
      </w:r>
      <w:r w:rsidR="007F3520" w:rsidRPr="000A160C">
        <w:rPr>
          <w:sz w:val="20"/>
          <w:szCs w:val="22"/>
        </w:rPr>
        <w:t xml:space="preserve">. </w:t>
      </w:r>
      <w:r w:rsidRPr="000A160C">
        <w:rPr>
          <w:sz w:val="20"/>
          <w:szCs w:val="22"/>
        </w:rPr>
        <w:t xml:space="preserve">Section </w:t>
      </w:r>
      <w:r w:rsidR="007F3520" w:rsidRPr="000A160C">
        <w:rPr>
          <w:sz w:val="20"/>
          <w:szCs w:val="22"/>
        </w:rPr>
        <w:t xml:space="preserve">4 </w:t>
      </w:r>
      <w:proofErr w:type="gramStart"/>
      <w:r w:rsidRPr="000A160C">
        <w:rPr>
          <w:sz w:val="20"/>
          <w:szCs w:val="22"/>
        </w:rPr>
        <w:t>presents</w:t>
      </w:r>
      <w:proofErr w:type="gramEnd"/>
      <w:r w:rsidRPr="000A160C">
        <w:rPr>
          <w:sz w:val="20"/>
          <w:szCs w:val="22"/>
        </w:rPr>
        <w:t xml:space="preserve"> power and performance comparisons of the </w:t>
      </w:r>
      <w:r w:rsidR="005E7373">
        <w:rPr>
          <w:sz w:val="20"/>
          <w:szCs w:val="22"/>
        </w:rPr>
        <w:t xml:space="preserve">proposed and </w:t>
      </w:r>
      <w:r w:rsidR="007F3520" w:rsidRPr="000A160C">
        <w:rPr>
          <w:sz w:val="20"/>
          <w:szCs w:val="22"/>
        </w:rPr>
        <w:t xml:space="preserve">conventional </w:t>
      </w:r>
      <w:r w:rsidRPr="000A160C">
        <w:rPr>
          <w:sz w:val="20"/>
          <w:szCs w:val="22"/>
        </w:rPr>
        <w:t xml:space="preserve">STT-LUTs. </w:t>
      </w:r>
      <w:r w:rsidR="007F3520" w:rsidRPr="000A160C">
        <w:rPr>
          <w:sz w:val="20"/>
          <w:szCs w:val="22"/>
        </w:rPr>
        <w:t>Robustness</w:t>
      </w:r>
      <w:r w:rsidRPr="000A160C">
        <w:rPr>
          <w:sz w:val="20"/>
          <w:szCs w:val="22"/>
        </w:rPr>
        <w:t xml:space="preserve"> of </w:t>
      </w:r>
      <w:r w:rsidRPr="000A160C">
        <w:rPr>
          <w:sz w:val="20"/>
          <w:szCs w:val="22"/>
        </w:rPr>
        <w:lastRenderedPageBreak/>
        <w:t xml:space="preserve">the STT-LUTs under process variations is analyzed and compared in Section </w:t>
      </w:r>
      <w:r w:rsidR="007F3520" w:rsidRPr="000A160C">
        <w:rPr>
          <w:sz w:val="20"/>
          <w:szCs w:val="22"/>
        </w:rPr>
        <w:t>5</w:t>
      </w:r>
      <w:r w:rsidRPr="000A160C">
        <w:rPr>
          <w:sz w:val="20"/>
          <w:szCs w:val="22"/>
        </w:rPr>
        <w:t xml:space="preserve">. </w:t>
      </w:r>
      <w:r w:rsidR="007F3520" w:rsidRPr="000A160C">
        <w:rPr>
          <w:sz w:val="20"/>
          <w:szCs w:val="22"/>
        </w:rPr>
        <w:t xml:space="preserve">Section 6 presents </w:t>
      </w:r>
      <w:r w:rsidR="005E7373">
        <w:rPr>
          <w:sz w:val="20"/>
          <w:szCs w:val="22"/>
        </w:rPr>
        <w:t>the implementation of an adder benchmark circuit using the static STT-LUTs</w:t>
      </w:r>
      <w:r w:rsidR="007F3520" w:rsidRPr="000A160C">
        <w:rPr>
          <w:sz w:val="20"/>
          <w:szCs w:val="22"/>
        </w:rPr>
        <w:t xml:space="preserve"> and its </w:t>
      </w:r>
      <w:r w:rsidR="005E7373">
        <w:rPr>
          <w:sz w:val="20"/>
          <w:szCs w:val="22"/>
        </w:rPr>
        <w:t>results</w:t>
      </w:r>
      <w:r w:rsidR="007F3520" w:rsidRPr="000A160C">
        <w:rPr>
          <w:sz w:val="20"/>
          <w:szCs w:val="22"/>
        </w:rPr>
        <w:t xml:space="preserve">. </w:t>
      </w:r>
      <w:r w:rsidRPr="000A160C">
        <w:rPr>
          <w:sz w:val="20"/>
          <w:szCs w:val="22"/>
        </w:rPr>
        <w:t xml:space="preserve">Finally, conclusions are drawn in Section </w:t>
      </w:r>
      <w:r w:rsidR="007F3520" w:rsidRPr="000A160C">
        <w:rPr>
          <w:sz w:val="20"/>
          <w:szCs w:val="22"/>
        </w:rPr>
        <w:t>7</w:t>
      </w:r>
      <w:r w:rsidRPr="000A160C">
        <w:rPr>
          <w:sz w:val="20"/>
          <w:szCs w:val="22"/>
        </w:rPr>
        <w:t>.</w:t>
      </w:r>
    </w:p>
    <w:p w:rsidR="008B197E" w:rsidRDefault="0033648C" w:rsidP="0033648C">
      <w:pPr>
        <w:pStyle w:val="Heading1"/>
        <w:spacing w:before="120"/>
      </w:pPr>
      <w:r>
        <w:t>EXISTING STT-LUT DESIGNS</w:t>
      </w:r>
      <w:r w:rsidR="00185C07">
        <w:t>: DYNAMIC</w:t>
      </w:r>
    </w:p>
    <w:p w:rsidR="0033648C" w:rsidRDefault="0033648C" w:rsidP="0075215D">
      <w:pPr>
        <w:pStyle w:val="BodyTextIndent"/>
        <w:ind w:firstLine="0"/>
      </w:pPr>
      <w:r>
        <w:t xml:space="preserve">The design concept of </w:t>
      </w:r>
      <w:r w:rsidR="0075215D">
        <w:t>a dynamic</w:t>
      </w:r>
      <w:r>
        <w:t xml:space="preserve"> STT-LUT is shown in Figure 2</w:t>
      </w:r>
      <w:r w:rsidR="00622953">
        <w:t>(a)</w:t>
      </w:r>
      <w:r>
        <w:t xml:space="preserve">. An n-input </w:t>
      </w:r>
      <w:r w:rsidR="00670EEA">
        <w:t>STT-LUT</w:t>
      </w:r>
      <w:r>
        <w:t xml:space="preserve"> requires 2</w:t>
      </w:r>
      <w:r w:rsidRPr="00722065">
        <w:rPr>
          <w:vertAlign w:val="superscript"/>
        </w:rPr>
        <w:t>n</w:t>
      </w:r>
      <w:r>
        <w:t xml:space="preserve"> MTJs that store the binary states. A CMOS selection tree (i.e. multiplexer) select a unique MTJ to be biased for reading and a CMOS sense amplifier for producing full swing output voltage. In the write mode, the data input is written to a unique MTJ. The challenging aspect of STT-LUT design is reliable and power and performance efficient sensing of the MTJ resistive state and converting it to </w:t>
      </w:r>
      <w:r w:rsidR="00937B81">
        <w:t xml:space="preserve">a </w:t>
      </w:r>
      <w:r>
        <w:t xml:space="preserve">binary voltage. </w:t>
      </w:r>
    </w:p>
    <w:tbl>
      <w:tblPr>
        <w:tblStyle w:val="TableGrid"/>
        <w:tblpPr w:leftFromText="180" w:rightFromText="180" w:vertAnchor="text" w:horzAnchor="margin" w:tblpY="57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390F58" w:rsidTr="00390F58">
        <w:tc>
          <w:tcPr>
            <w:tcW w:w="5018" w:type="dxa"/>
          </w:tcPr>
          <w:p w:rsidR="00622953" w:rsidRDefault="00622953" w:rsidP="00390F58">
            <w:pPr>
              <w:jc w:val="center"/>
              <w:rPr>
                <w:noProof/>
                <w:color w:val="000000"/>
                <w:sz w:val="20"/>
              </w:rPr>
            </w:pPr>
          </w:p>
          <w:p w:rsidR="00622953" w:rsidRDefault="00622953" w:rsidP="00390F58">
            <w:pPr>
              <w:jc w:val="center"/>
              <w:rPr>
                <w:color w:val="000000"/>
                <w:sz w:val="20"/>
              </w:rPr>
            </w:pPr>
            <w:r>
              <w:rPr>
                <w:noProof/>
                <w:color w:val="000000"/>
                <w:sz w:val="20"/>
              </w:rPr>
              <w:drawing>
                <wp:inline distT="0" distB="0" distL="0" distR="0" wp14:anchorId="48C5DAEC" wp14:editId="696C7017">
                  <wp:extent cx="3195955"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1895475"/>
                          </a:xfrm>
                          <a:prstGeom prst="rect">
                            <a:avLst/>
                          </a:prstGeom>
                          <a:noFill/>
                          <a:ln>
                            <a:noFill/>
                          </a:ln>
                        </pic:spPr>
                      </pic:pic>
                    </a:graphicData>
                  </a:graphic>
                </wp:inline>
              </w:drawing>
            </w:r>
          </w:p>
          <w:p w:rsidR="00622953" w:rsidRDefault="00622953" w:rsidP="00390F58">
            <w:pPr>
              <w:jc w:val="center"/>
              <w:rPr>
                <w:color w:val="000000"/>
                <w:sz w:val="20"/>
              </w:rPr>
            </w:pPr>
            <w:r>
              <w:rPr>
                <w:color w:val="000000"/>
                <w:sz w:val="20"/>
              </w:rPr>
              <w:t>(a)</w:t>
            </w:r>
          </w:p>
          <w:p w:rsidR="00622953" w:rsidRDefault="00CC4E74" w:rsidP="00390F58">
            <w:pPr>
              <w:jc w:val="center"/>
              <w:rPr>
                <w:noProof/>
                <w:color w:val="000000"/>
                <w:sz w:val="20"/>
              </w:rPr>
            </w:pPr>
            <w:r>
              <w:rPr>
                <w:noProof/>
                <w:color w:val="000000"/>
                <w:sz w:val="20"/>
              </w:rPr>
              <w:drawing>
                <wp:inline distT="0" distB="0" distL="0" distR="0">
                  <wp:extent cx="3195955" cy="171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710055"/>
                          </a:xfrm>
                          <a:prstGeom prst="rect">
                            <a:avLst/>
                          </a:prstGeom>
                          <a:noFill/>
                          <a:ln>
                            <a:noFill/>
                          </a:ln>
                        </pic:spPr>
                      </pic:pic>
                    </a:graphicData>
                  </a:graphic>
                </wp:inline>
              </w:drawing>
            </w:r>
          </w:p>
          <w:p w:rsidR="00390F58" w:rsidRDefault="00622953" w:rsidP="00622953">
            <w:pPr>
              <w:jc w:val="center"/>
              <w:rPr>
                <w:color w:val="000000"/>
                <w:sz w:val="20"/>
              </w:rPr>
            </w:pPr>
            <w:r>
              <w:rPr>
                <w:noProof/>
                <w:color w:val="000000"/>
                <w:sz w:val="20"/>
              </w:rPr>
              <w:t>(b)</w:t>
            </w:r>
          </w:p>
        </w:tc>
      </w:tr>
      <w:tr w:rsidR="00390F58" w:rsidTr="00390F58">
        <w:tc>
          <w:tcPr>
            <w:tcW w:w="5018" w:type="dxa"/>
          </w:tcPr>
          <w:p w:rsidR="00390F58" w:rsidRDefault="00390F58" w:rsidP="00622953">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2.</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STT-LUT design concept</w:t>
            </w:r>
            <w:r w:rsidR="00622953">
              <w:rPr>
                <w:rFonts w:ascii="Times New Roman" w:eastAsia="Times New Roman" w:hAnsi="Times New Roman" w:cs="Miriam"/>
                <w:b/>
                <w:bCs/>
                <w:szCs w:val="18"/>
                <w:lang w:eastAsia="en-AU"/>
              </w:rPr>
              <w:t>: (a) Existing dynamic style (b) Proposed static style</w:t>
            </w:r>
          </w:p>
        </w:tc>
      </w:tr>
    </w:tbl>
    <w:p w:rsidR="0033648C" w:rsidRDefault="00185C07" w:rsidP="00B131BB">
      <w:pPr>
        <w:pStyle w:val="BodyTextIndent"/>
        <w:ind w:firstLine="0"/>
      </w:pPr>
      <w:r>
        <w:t xml:space="preserve">In this style, the sense amplifier is shared among all the MTJs and </w:t>
      </w:r>
      <w:r w:rsidR="009F1F6F">
        <w:t xml:space="preserve">due to the latching property of the sense amplifier, </w:t>
      </w:r>
      <w:r>
        <w:t>any change on the</w:t>
      </w:r>
      <w:r w:rsidR="0075215D">
        <w:t xml:space="preserve"> select</w:t>
      </w:r>
      <w:r>
        <w:t xml:space="preserve"> inputs of the LUT requires the sense amplifier to </w:t>
      </w:r>
      <w:r w:rsidR="00290AC4">
        <w:t>re-evaluate</w:t>
      </w:r>
      <w:r>
        <w:t xml:space="preserve"> and update its output. </w:t>
      </w:r>
      <w:r w:rsidR="009F1F6F">
        <w:t xml:space="preserve">This requires a dynamic (i.e. </w:t>
      </w:r>
      <w:proofErr w:type="spellStart"/>
      <w:r w:rsidR="009F1F6F">
        <w:t>precharge</w:t>
      </w:r>
      <w:proofErr w:type="spellEnd"/>
      <w:r w:rsidR="009F1F6F">
        <w:t xml:space="preserve"> based) sense amplifier that periodically (using a clock signal) re-senses </w:t>
      </w:r>
      <w:r w:rsidR="0075215D">
        <w:t xml:space="preserve">the MTJ selected by </w:t>
      </w:r>
      <w:r w:rsidR="009F1F6F">
        <w:t>its inputs regardless of the change on the inputs of the LUT.</w:t>
      </w:r>
      <w:r w:rsidR="0075215D">
        <w:t xml:space="preserve"> A</w:t>
      </w:r>
      <w:r>
        <w:t>ll e</w:t>
      </w:r>
      <w:r w:rsidR="00670EEA">
        <w:t xml:space="preserve">xisting STT-LUT designs </w:t>
      </w:r>
      <w:r>
        <w:t>use a</w:t>
      </w:r>
      <w:r w:rsidR="0075215D">
        <w:t xml:space="preserve"> variety</w:t>
      </w:r>
      <w:r>
        <w:t xml:space="preserve"> of dynamic sensing schemes</w:t>
      </w:r>
      <w:r w:rsidR="00670EEA">
        <w:t xml:space="preserve"> </w:t>
      </w:r>
      <w:r>
        <w:t xml:space="preserve">to update the sense amplifier output on </w:t>
      </w:r>
      <w:r w:rsidR="0075215D">
        <w:t xml:space="preserve">a cycle </w:t>
      </w:r>
      <w:r>
        <w:t>by cycle basis</w:t>
      </w:r>
      <w:r w:rsidR="00670EEA">
        <w:t>. The SRAM based sensing scheme proposed in [</w:t>
      </w:r>
      <w:r w:rsidR="00937B81">
        <w:t>5</w:t>
      </w:r>
      <w:r w:rsidR="00670EEA">
        <w:t xml:space="preserve">] uses an SRAM cell that is biased in </w:t>
      </w:r>
      <w:r w:rsidR="00937B81">
        <w:t xml:space="preserve">the </w:t>
      </w:r>
      <w:r w:rsidR="00670EEA">
        <w:t xml:space="preserve">metastable condition in the initialization phase and then switches to the full-swing direction according to the resistance difference between the selected MTJ and a reference resistor. This design cannot be cascade because of the </w:t>
      </w:r>
      <w:r w:rsidR="004C1C7E">
        <w:t>initial</w:t>
      </w:r>
      <w:r w:rsidR="00670EEA">
        <w:t xml:space="preserve"> output voltage level being at around half the supply level (VDD) and hence distorting the sensing of the next stage. The other existing STT-LUT design is the Dynamic Current Mode (DCM) logic based design [</w:t>
      </w:r>
      <w:r w:rsidR="00937B81">
        <w:t>4</w:t>
      </w:r>
      <w:r w:rsidR="00670EEA">
        <w:t>].</w:t>
      </w:r>
      <w:r w:rsidR="006E06C5">
        <w:t xml:space="preserve"> This design uses the concept of the dynamic current mode logic [</w:t>
      </w:r>
      <w:r w:rsidR="004A043D">
        <w:t>6</w:t>
      </w:r>
      <w:r w:rsidR="006E06C5">
        <w:t xml:space="preserve">], by utilizing a dynamic current source to reduce the current of the selection tree above it and hence to reduce the power consumption. However, by doing so, </w:t>
      </w:r>
      <w:r w:rsidR="005E4EB3">
        <w:t>the read delay become</w:t>
      </w:r>
      <w:r w:rsidR="00B131BB">
        <w:t>s</w:t>
      </w:r>
      <w:r w:rsidR="005E4EB3">
        <w:t xml:space="preserve"> very </w:t>
      </w:r>
      <w:r w:rsidR="00B131BB">
        <w:t>long</w:t>
      </w:r>
      <w:r w:rsidR="005E4EB3">
        <w:t>.</w:t>
      </w:r>
      <w:r w:rsidR="004C1C7E">
        <w:t xml:space="preserve"> The value of the capacitance of the dynamic current source creates a trade-off between power and delay</w:t>
      </w:r>
      <w:r w:rsidR="005E4EB3">
        <w:t xml:space="preserve"> and if the capacitance is to be increased to achieve a competitive delay with other styles, its power consumption will become too high</w:t>
      </w:r>
      <w:r w:rsidR="004F6765">
        <w:t xml:space="preserve"> [</w:t>
      </w:r>
      <w:r w:rsidR="004F6765" w:rsidRPr="00B131BB">
        <w:rPr>
          <w:highlight w:val="yellow"/>
        </w:rPr>
        <w:t>?</w:t>
      </w:r>
      <w:r w:rsidR="004F6765">
        <w:t>]</w:t>
      </w:r>
      <w:r w:rsidR="004C1C7E">
        <w:t xml:space="preserve">. </w:t>
      </w:r>
    </w:p>
    <w:p w:rsidR="005E4EB3" w:rsidRDefault="005E4EB3" w:rsidP="004F6765">
      <w:pPr>
        <w:pStyle w:val="BodyTextIndent"/>
        <w:ind w:firstLine="0"/>
      </w:pPr>
      <w:r w:rsidRPr="00733D2B">
        <w:rPr>
          <w:rFonts w:asciiTheme="majorBidi" w:hAnsiTheme="majorBidi" w:cstheme="majorBidi"/>
          <w:szCs w:val="18"/>
        </w:rPr>
        <w:t xml:space="preserve">The </w:t>
      </w:r>
      <w:proofErr w:type="spellStart"/>
      <w:r w:rsidRPr="00733D2B">
        <w:rPr>
          <w:rFonts w:asciiTheme="majorBidi" w:hAnsiTheme="majorBidi" w:cstheme="majorBidi"/>
          <w:szCs w:val="18"/>
        </w:rPr>
        <w:t>Precharge</w:t>
      </w:r>
      <w:proofErr w:type="spellEnd"/>
      <w:r w:rsidRPr="00733D2B">
        <w:rPr>
          <w:rFonts w:asciiTheme="majorBidi" w:hAnsiTheme="majorBidi" w:cstheme="majorBidi"/>
          <w:szCs w:val="18"/>
        </w:rPr>
        <w:t xml:space="preserve"> Sense Amplifier (PCSA) STT-LUTs presented in [</w:t>
      </w:r>
      <w:r>
        <w:rPr>
          <w:rFonts w:asciiTheme="majorBidi" w:hAnsiTheme="majorBidi" w:cstheme="majorBidi"/>
          <w:szCs w:val="18"/>
        </w:rPr>
        <w:t>11</w:t>
      </w:r>
      <w:r w:rsidRPr="00733D2B">
        <w:rPr>
          <w:rFonts w:asciiTheme="majorBidi" w:hAnsiTheme="majorBidi" w:cstheme="majorBidi"/>
          <w:szCs w:val="18"/>
        </w:rPr>
        <w:t xml:space="preserve">] use MTJs in an array with single access transistors per MTJ, and hence </w:t>
      </w:r>
      <w:r w:rsidR="004F6765" w:rsidRPr="00733D2B">
        <w:rPr>
          <w:rFonts w:asciiTheme="majorBidi" w:hAnsiTheme="majorBidi" w:cstheme="majorBidi"/>
          <w:szCs w:val="18"/>
        </w:rPr>
        <w:t>rel</w:t>
      </w:r>
      <w:r w:rsidR="004F6765">
        <w:rPr>
          <w:rFonts w:asciiTheme="majorBidi" w:hAnsiTheme="majorBidi" w:cstheme="majorBidi"/>
          <w:szCs w:val="18"/>
        </w:rPr>
        <w:t>ying</w:t>
      </w:r>
      <w:r w:rsidRPr="00733D2B">
        <w:rPr>
          <w:rFonts w:asciiTheme="majorBidi" w:hAnsiTheme="majorBidi" w:cstheme="majorBidi"/>
          <w:szCs w:val="18"/>
        </w:rPr>
        <w:t xml:space="preserve"> on </w:t>
      </w:r>
      <w:r w:rsidR="00B131BB">
        <w:rPr>
          <w:rFonts w:asciiTheme="majorBidi" w:hAnsiTheme="majorBidi" w:cstheme="majorBidi"/>
          <w:szCs w:val="18"/>
        </w:rPr>
        <w:t>a separate decoder</w:t>
      </w:r>
      <w:r w:rsidRPr="00733D2B">
        <w:rPr>
          <w:rFonts w:asciiTheme="majorBidi" w:hAnsiTheme="majorBidi" w:cstheme="majorBidi"/>
          <w:szCs w:val="18"/>
        </w:rPr>
        <w:t xml:space="preserve"> to provide the decoded MTJ select signals from primary LUT inputs.</w:t>
      </w:r>
      <w:r w:rsidR="004F6765">
        <w:rPr>
          <w:rFonts w:asciiTheme="majorBidi" w:hAnsiTheme="majorBidi" w:cstheme="majorBidi"/>
          <w:szCs w:val="18"/>
        </w:rPr>
        <w:t xml:space="preserve"> Separated </w:t>
      </w:r>
      <w:proofErr w:type="spellStart"/>
      <w:r w:rsidR="004F6765">
        <w:rPr>
          <w:rFonts w:asciiTheme="majorBidi" w:hAnsiTheme="majorBidi" w:cstheme="majorBidi"/>
          <w:szCs w:val="18"/>
        </w:rPr>
        <w:t>Precharge</w:t>
      </w:r>
      <w:proofErr w:type="spellEnd"/>
      <w:r w:rsidR="004F6765">
        <w:rPr>
          <w:rFonts w:asciiTheme="majorBidi" w:hAnsiTheme="majorBidi" w:cstheme="majorBidi"/>
          <w:szCs w:val="18"/>
        </w:rPr>
        <w:t xml:space="preserve"> Sensing Amplifier (SPCSA) is also presented in [11] as a more reliable style owing to </w:t>
      </w:r>
      <w:r w:rsidR="000F40F3">
        <w:rPr>
          <w:rFonts w:asciiTheme="majorBidi" w:hAnsiTheme="majorBidi" w:cstheme="majorBidi"/>
          <w:szCs w:val="18"/>
        </w:rPr>
        <w:t>higher voltage bias on the MTJs and a pre-amplification stage before the sense amplifier</w:t>
      </w:r>
      <w:r>
        <w:t>.</w:t>
      </w:r>
      <w:r w:rsidR="000F40F3">
        <w:t xml:space="preserve"> The Dynamic Single Rail (DSR) and Dynamic Dual Rail (DDR) STT-LUT styles are presented in [</w:t>
      </w:r>
      <w:r w:rsidR="000F40F3" w:rsidRPr="00B131BB">
        <w:rPr>
          <w:highlight w:val="yellow"/>
        </w:rPr>
        <w:t>?</w:t>
      </w:r>
      <w:r w:rsidR="000F40F3">
        <w:t>] and shown to be the most reliable and high performance dynamic style</w:t>
      </w:r>
      <w:r w:rsidR="00B131BB">
        <w:t>s</w:t>
      </w:r>
      <w:r w:rsidR="000F40F3">
        <w:t xml:space="preserve"> for STT-LUTs. The DDR STT-LUT style shown in Fig. 3 is chosen as the representative of the state of the art dynamic STT-LUT style.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670EEA" w:rsidTr="0065566A">
        <w:tc>
          <w:tcPr>
            <w:tcW w:w="5018" w:type="dxa"/>
          </w:tcPr>
          <w:p w:rsidR="00670EEA" w:rsidRDefault="005E4EB3" w:rsidP="00670EEA">
            <w:pPr>
              <w:jc w:val="center"/>
              <w:rPr>
                <w:color w:val="000000"/>
                <w:sz w:val="20"/>
              </w:rPr>
            </w:pPr>
            <w:r>
              <w:rPr>
                <w:noProof/>
              </w:rPr>
              <w:lastRenderedPageBreak/>
              <w:drawing>
                <wp:inline distT="0" distB="0" distL="0" distR="0" wp14:anchorId="1917FD24" wp14:editId="4857048D">
                  <wp:extent cx="313055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550" cy="1828800"/>
                          </a:xfrm>
                          <a:prstGeom prst="rect">
                            <a:avLst/>
                          </a:prstGeom>
                          <a:noFill/>
                          <a:ln>
                            <a:noFill/>
                          </a:ln>
                        </pic:spPr>
                      </pic:pic>
                    </a:graphicData>
                  </a:graphic>
                </wp:inline>
              </w:drawing>
            </w:r>
          </w:p>
        </w:tc>
      </w:tr>
      <w:tr w:rsidR="00670EEA" w:rsidTr="0065566A">
        <w:tc>
          <w:tcPr>
            <w:tcW w:w="5018" w:type="dxa"/>
          </w:tcPr>
          <w:p w:rsidR="00670EEA" w:rsidRDefault="00670EEA" w:rsidP="005E4EB3">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3.</w:t>
            </w:r>
            <w:r w:rsidRPr="006F1A8E">
              <w:rPr>
                <w:rFonts w:ascii="Times New Roman" w:eastAsia="Times New Roman" w:hAnsi="Times New Roman" w:cs="Miriam"/>
                <w:b/>
                <w:bCs/>
                <w:szCs w:val="18"/>
                <w:lang w:eastAsia="en-AU"/>
              </w:rPr>
              <w:t xml:space="preserve"> </w:t>
            </w:r>
            <w:r w:rsidR="004C1C7E">
              <w:rPr>
                <w:rFonts w:ascii="Times New Roman" w:eastAsia="Times New Roman" w:hAnsi="Times New Roman" w:cs="Miriam"/>
                <w:b/>
                <w:bCs/>
                <w:szCs w:val="18"/>
                <w:lang w:eastAsia="en-AU"/>
              </w:rPr>
              <w:t xml:space="preserve">2-input </w:t>
            </w:r>
            <w:r w:rsidR="005E4EB3">
              <w:rPr>
                <w:rFonts w:ascii="Times New Roman" w:eastAsia="Times New Roman" w:hAnsi="Times New Roman" w:cs="Miriam"/>
                <w:b/>
                <w:bCs/>
                <w:szCs w:val="18"/>
                <w:lang w:eastAsia="en-AU"/>
              </w:rPr>
              <w:t>Dynamic Dual Rail (DDR)</w:t>
            </w:r>
            <w:r>
              <w:rPr>
                <w:rFonts w:ascii="Times New Roman" w:eastAsia="Times New Roman" w:hAnsi="Times New Roman" w:cs="Miriam"/>
                <w:b/>
                <w:bCs/>
                <w:szCs w:val="18"/>
                <w:lang w:eastAsia="en-AU"/>
              </w:rPr>
              <w:t xml:space="preserve"> STT-LUT [</w:t>
            </w:r>
            <w:r w:rsidR="005E4EB3" w:rsidRPr="00B131BB">
              <w:rPr>
                <w:rFonts w:ascii="Times New Roman" w:eastAsia="Times New Roman" w:hAnsi="Times New Roman" w:cs="Miriam"/>
                <w:b/>
                <w:bCs/>
                <w:szCs w:val="18"/>
                <w:highlight w:val="yellow"/>
                <w:lang w:eastAsia="en-AU"/>
              </w:rPr>
              <w:t>?</w:t>
            </w:r>
            <w:r>
              <w:rPr>
                <w:rFonts w:ascii="Times New Roman" w:eastAsia="Times New Roman" w:hAnsi="Times New Roman" w:cs="Miriam"/>
                <w:b/>
                <w:bCs/>
                <w:szCs w:val="18"/>
                <w:lang w:eastAsia="en-AU"/>
              </w:rPr>
              <w:t>]</w:t>
            </w:r>
          </w:p>
        </w:tc>
      </w:tr>
    </w:tbl>
    <w:p w:rsidR="008B197E" w:rsidRDefault="004C1C7E">
      <w:pPr>
        <w:pStyle w:val="Heading1"/>
        <w:spacing w:before="120"/>
      </w:pPr>
      <w:r>
        <w:t xml:space="preserve">PROPOSED </w:t>
      </w:r>
      <w:r w:rsidR="00A42D54">
        <w:t xml:space="preserve">STATIC </w:t>
      </w:r>
      <w:r>
        <w:t>STT-LUT DESIGN</w:t>
      </w:r>
    </w:p>
    <w:tbl>
      <w:tblPr>
        <w:tblStyle w:val="TableGrid"/>
        <w:tblpPr w:leftFromText="180" w:rightFromText="180" w:vertAnchor="text" w:horzAnchor="margin" w:tblpXSpec="right" w:tblpY="4549"/>
        <w:tblOverlap w:val="never"/>
        <w:tblW w:w="5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34523E" w:rsidTr="0034523E">
        <w:tc>
          <w:tcPr>
            <w:tcW w:w="5018" w:type="dxa"/>
          </w:tcPr>
          <w:p w:rsidR="003417CD" w:rsidRDefault="003417CD" w:rsidP="003417CD">
            <w:pPr>
              <w:jc w:val="center"/>
              <w:rPr>
                <w:color w:val="000000"/>
                <w:sz w:val="20"/>
              </w:rPr>
            </w:pPr>
            <w:r>
              <w:rPr>
                <w:noProof/>
                <w:color w:val="000000"/>
                <w:sz w:val="20"/>
              </w:rPr>
              <w:drawing>
                <wp:inline distT="0" distB="0" distL="0" distR="0">
                  <wp:extent cx="2742252" cy="19669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7270" cy="1970511"/>
                          </a:xfrm>
                          <a:prstGeom prst="rect">
                            <a:avLst/>
                          </a:prstGeom>
                          <a:noFill/>
                          <a:ln>
                            <a:noFill/>
                          </a:ln>
                        </pic:spPr>
                      </pic:pic>
                    </a:graphicData>
                  </a:graphic>
                </wp:inline>
              </w:drawing>
            </w:r>
          </w:p>
          <w:p w:rsidR="003417CD" w:rsidRDefault="003417CD" w:rsidP="003417CD">
            <w:pPr>
              <w:jc w:val="center"/>
              <w:rPr>
                <w:color w:val="000000"/>
                <w:sz w:val="20"/>
              </w:rPr>
            </w:pPr>
            <w:r>
              <w:rPr>
                <w:color w:val="000000"/>
                <w:sz w:val="20"/>
              </w:rPr>
              <w:t>(a)</w:t>
            </w:r>
          </w:p>
          <w:p w:rsidR="0034523E" w:rsidRDefault="003417CD" w:rsidP="003417CD">
            <w:pPr>
              <w:jc w:val="center"/>
              <w:rPr>
                <w:color w:val="000000"/>
                <w:sz w:val="20"/>
              </w:rPr>
            </w:pPr>
            <w:r w:rsidRPr="003417CD">
              <w:rPr>
                <w:noProof/>
                <w:color w:val="000000"/>
                <w:sz w:val="20"/>
              </w:rPr>
              <w:drawing>
                <wp:inline distT="0" distB="0" distL="0" distR="0" wp14:anchorId="22688D57" wp14:editId="20030A2A">
                  <wp:extent cx="2575124" cy="2528888"/>
                  <wp:effectExtent l="0" t="0" r="0" b="0"/>
                  <wp:docPr id="74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8774" cy="2532473"/>
                          </a:xfrm>
                          <a:prstGeom prst="rect">
                            <a:avLst/>
                          </a:prstGeom>
                          <a:noFill/>
                          <a:ln>
                            <a:noFill/>
                          </a:ln>
                          <a:effectLst/>
                          <a:extLst/>
                        </pic:spPr>
                      </pic:pic>
                    </a:graphicData>
                  </a:graphic>
                </wp:inline>
              </w:drawing>
            </w:r>
          </w:p>
          <w:p w:rsidR="003417CD" w:rsidRDefault="003417CD" w:rsidP="003417CD">
            <w:pPr>
              <w:jc w:val="center"/>
              <w:rPr>
                <w:color w:val="000000"/>
                <w:sz w:val="20"/>
              </w:rPr>
            </w:pPr>
            <w:r>
              <w:rPr>
                <w:color w:val="000000"/>
                <w:sz w:val="20"/>
              </w:rPr>
              <w:t>(b)</w:t>
            </w:r>
          </w:p>
        </w:tc>
      </w:tr>
      <w:tr w:rsidR="0034523E" w:rsidTr="0034523E">
        <w:tc>
          <w:tcPr>
            <w:tcW w:w="5018" w:type="dxa"/>
          </w:tcPr>
          <w:p w:rsidR="0034523E" w:rsidRDefault="0034523E" w:rsidP="003417CD">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4.</w:t>
            </w:r>
            <w:r w:rsidRPr="006F1A8E">
              <w:rPr>
                <w:rFonts w:ascii="Times New Roman" w:eastAsia="Times New Roman" w:hAnsi="Times New Roman" w:cs="Miriam"/>
                <w:b/>
                <w:bCs/>
                <w:szCs w:val="18"/>
                <w:lang w:eastAsia="en-AU"/>
              </w:rPr>
              <w:t xml:space="preserve"> </w:t>
            </w:r>
            <w:r w:rsidR="003417CD">
              <w:rPr>
                <w:rFonts w:ascii="Times New Roman" w:eastAsia="Times New Roman" w:hAnsi="Times New Roman" w:cs="Miriam"/>
                <w:b/>
                <w:bCs/>
                <w:szCs w:val="18"/>
                <w:lang w:eastAsia="en-AU"/>
              </w:rPr>
              <w:t>STT-</w:t>
            </w:r>
            <w:r w:rsidR="00CC4E74">
              <w:rPr>
                <w:rFonts w:ascii="Times New Roman" w:eastAsia="Times New Roman" w:hAnsi="Times New Roman" w:cs="Miriam"/>
                <w:b/>
                <w:bCs/>
                <w:szCs w:val="18"/>
                <w:lang w:eastAsia="en-AU"/>
              </w:rPr>
              <w:t xml:space="preserve">Latches: (a) </w:t>
            </w:r>
            <w:proofErr w:type="spellStart"/>
            <w:r w:rsidR="00CC4E74">
              <w:rPr>
                <w:rFonts w:ascii="Times New Roman" w:eastAsia="Times New Roman" w:hAnsi="Times New Roman" w:cs="Miriam"/>
                <w:b/>
                <w:bCs/>
                <w:szCs w:val="18"/>
                <w:lang w:eastAsia="en-AU"/>
              </w:rPr>
              <w:t>Precharge</w:t>
            </w:r>
            <w:proofErr w:type="spellEnd"/>
            <w:r w:rsidR="00CC4E74">
              <w:rPr>
                <w:rFonts w:ascii="Times New Roman" w:eastAsia="Times New Roman" w:hAnsi="Times New Roman" w:cs="Miriam"/>
                <w:b/>
                <w:bCs/>
                <w:szCs w:val="18"/>
                <w:lang w:eastAsia="en-AU"/>
              </w:rPr>
              <w:t xml:space="preserve"> Sense </w:t>
            </w:r>
            <w:r w:rsidR="003417CD">
              <w:rPr>
                <w:rFonts w:ascii="Times New Roman" w:eastAsia="Times New Roman" w:hAnsi="Times New Roman" w:cs="Miriam"/>
                <w:b/>
                <w:bCs/>
                <w:szCs w:val="18"/>
                <w:lang w:eastAsia="en-AU"/>
              </w:rPr>
              <w:t>Amplifier</w:t>
            </w:r>
            <w:r w:rsidR="00CC4E74">
              <w:rPr>
                <w:rFonts w:ascii="Times New Roman" w:eastAsia="Times New Roman" w:hAnsi="Times New Roman" w:cs="Miriam"/>
                <w:b/>
                <w:bCs/>
                <w:szCs w:val="18"/>
                <w:lang w:eastAsia="en-AU"/>
              </w:rPr>
              <w:t xml:space="preserve"> (PCSA) </w:t>
            </w:r>
            <w:r w:rsidR="003417CD">
              <w:rPr>
                <w:rFonts w:ascii="Times New Roman" w:eastAsia="Times New Roman" w:hAnsi="Times New Roman" w:cs="Miriam"/>
                <w:b/>
                <w:bCs/>
                <w:szCs w:val="18"/>
                <w:lang w:eastAsia="en-AU"/>
              </w:rPr>
              <w:t xml:space="preserve">[] </w:t>
            </w:r>
            <w:r w:rsidR="00CC4E74">
              <w:rPr>
                <w:rFonts w:ascii="Times New Roman" w:eastAsia="Times New Roman" w:hAnsi="Times New Roman" w:cs="Miriam"/>
                <w:b/>
                <w:bCs/>
                <w:szCs w:val="18"/>
                <w:lang w:eastAsia="en-AU"/>
              </w:rPr>
              <w:t xml:space="preserve">and (b) Separated </w:t>
            </w:r>
            <w:proofErr w:type="spellStart"/>
            <w:r w:rsidR="00CC4E74">
              <w:rPr>
                <w:rFonts w:ascii="Times New Roman" w:eastAsia="Times New Roman" w:hAnsi="Times New Roman" w:cs="Miriam"/>
                <w:b/>
                <w:bCs/>
                <w:szCs w:val="18"/>
                <w:lang w:eastAsia="en-AU"/>
              </w:rPr>
              <w:t>Precharge</w:t>
            </w:r>
            <w:proofErr w:type="spellEnd"/>
            <w:r w:rsidR="00CC4E74">
              <w:rPr>
                <w:rFonts w:ascii="Times New Roman" w:eastAsia="Times New Roman" w:hAnsi="Times New Roman" w:cs="Miriam"/>
                <w:b/>
                <w:bCs/>
                <w:szCs w:val="18"/>
                <w:lang w:eastAsia="en-AU"/>
              </w:rPr>
              <w:t xml:space="preserve"> Sense </w:t>
            </w:r>
            <w:r w:rsidR="003417CD">
              <w:rPr>
                <w:rFonts w:ascii="Times New Roman" w:eastAsia="Times New Roman" w:hAnsi="Times New Roman" w:cs="Miriam"/>
                <w:b/>
                <w:bCs/>
                <w:szCs w:val="18"/>
                <w:lang w:eastAsia="en-AU"/>
              </w:rPr>
              <w:t>Amplifier</w:t>
            </w:r>
            <w:r w:rsidR="00CC4E74">
              <w:rPr>
                <w:rFonts w:ascii="Times New Roman" w:eastAsia="Times New Roman" w:hAnsi="Times New Roman" w:cs="Miriam"/>
                <w:b/>
                <w:bCs/>
                <w:szCs w:val="18"/>
                <w:lang w:eastAsia="en-AU"/>
              </w:rPr>
              <w:t xml:space="preserve"> (SPCSA) []</w:t>
            </w:r>
          </w:p>
        </w:tc>
      </w:tr>
    </w:tbl>
    <w:p w:rsidR="004C1C7E" w:rsidRDefault="004C1C7E" w:rsidP="001D2E18">
      <w:r>
        <w:t>Fig</w:t>
      </w:r>
      <w:r w:rsidR="009F7011">
        <w:t>.</w:t>
      </w:r>
      <w:r>
        <w:t xml:space="preserve"> </w:t>
      </w:r>
      <w:r w:rsidR="009F7011">
        <w:t>2(b)</w:t>
      </w:r>
      <w:r>
        <w:t xml:space="preserve"> shows the proposed </w:t>
      </w:r>
      <w:r w:rsidR="009F7011">
        <w:t>Static</w:t>
      </w:r>
      <w:r w:rsidR="00AC1FB1">
        <w:t xml:space="preserve"> STT-LUT </w:t>
      </w:r>
      <w:r w:rsidR="009F7011">
        <w:t>style. By moving the multiplexer stage after the dynamic sense amplifier</w:t>
      </w:r>
      <w:r w:rsidR="001D2E18">
        <w:t xml:space="preserve"> and using a static implementation of the multiplexer, the STT-LUT logic from input to output becomes static. In this scheme, each MTJ cell requires a unique dynamic latched sense amplifier. The sense amplifiers need to be enabled once at the beginning to have their outputs be initialize according to the state of their MTJs. This needs to be done once on every power-on. The MTJs retain the content of the LUT in a non-volatile form. In this configuration the MTJs are read only once and for the rest of the time in the active mode, the LUT read power and delay is determined by the static multiplexer. Moreover, by not reading from the MTJs repetitively as in the dynamic STT-LUT style, the stress is removed from the MTJs enhancing their life-time. </w:t>
      </w:r>
    </w:p>
    <w:p w:rsidR="00CC4E74" w:rsidRDefault="00CC4E74" w:rsidP="00810C0F">
      <w:r>
        <w:t xml:space="preserve">The MTJ and sense amplifier form a non-volatile </w:t>
      </w:r>
      <w:r w:rsidR="003417CD">
        <w:t>STT</w:t>
      </w:r>
      <w:r>
        <w:t xml:space="preserve"> latch (</w:t>
      </w:r>
      <w:r w:rsidR="003417CD">
        <w:t>STT</w:t>
      </w:r>
      <w:r>
        <w:t>-</w:t>
      </w:r>
      <w:r w:rsidR="003417CD">
        <w:t>l</w:t>
      </w:r>
      <w:r>
        <w:t>atch). An n-input static STT-LUT needs 2</w:t>
      </w:r>
      <w:r w:rsidRPr="00CC4E74">
        <w:rPr>
          <w:vertAlign w:val="superscript"/>
        </w:rPr>
        <w:t>n</w:t>
      </w:r>
      <w:r>
        <w:t xml:space="preserve"> such </w:t>
      </w:r>
      <w:r w:rsidR="003417CD">
        <w:t>STT</w:t>
      </w:r>
      <w:r>
        <w:t xml:space="preserve">-latches. A variety of </w:t>
      </w:r>
      <w:r w:rsidR="003417CD">
        <w:t>STT</w:t>
      </w:r>
      <w:r>
        <w:t xml:space="preserve">-latches are proposed in the literature.  Fig. 4 shows the </w:t>
      </w:r>
      <w:proofErr w:type="spellStart"/>
      <w:r>
        <w:t>Precharge</w:t>
      </w:r>
      <w:proofErr w:type="spellEnd"/>
      <w:r>
        <w:t xml:space="preserve"> Sensing Amplifier (PCSA) [] and the Separated </w:t>
      </w:r>
      <w:proofErr w:type="spellStart"/>
      <w:r>
        <w:t>Precharge</w:t>
      </w:r>
      <w:proofErr w:type="spellEnd"/>
      <w:r>
        <w:t xml:space="preserve"> Sensing Amplifier (SPCSA) [] </w:t>
      </w:r>
      <w:r w:rsidR="003417CD">
        <w:t>STT</w:t>
      </w:r>
      <w:r>
        <w:t>-latches</w:t>
      </w:r>
      <w:r w:rsidR="003417CD">
        <w:t xml:space="preserve">, that </w:t>
      </w:r>
      <w:r w:rsidR="00810C0F">
        <w:t>offer</w:t>
      </w:r>
      <w:r w:rsidR="003417CD">
        <w:t xml:space="preserve"> better sensing reliability compared to other schemes such </w:t>
      </w:r>
      <w:r w:rsidR="00810C0F">
        <w:t xml:space="preserve">as </w:t>
      </w:r>
      <w:r w:rsidR="003417CD">
        <w:t xml:space="preserve">SRAM-based [] and </w:t>
      </w:r>
      <w:r w:rsidR="006D3C98">
        <w:t>Dynamic current mode [] STT-lacthes</w:t>
      </w:r>
      <w:r>
        <w:t xml:space="preserve">. </w:t>
      </w:r>
    </w:p>
    <w:p w:rsidR="00810C0F" w:rsidRDefault="00810C0F" w:rsidP="009E08C6">
      <w:r>
        <w:t>The multiplexer is a 2</w:t>
      </w:r>
      <w:r w:rsidRPr="00810C0F">
        <w:rPr>
          <w:vertAlign w:val="superscript"/>
        </w:rPr>
        <w:t>n</w:t>
      </w:r>
      <w:r>
        <w:t xml:space="preserve"> to 1</w:t>
      </w:r>
      <w:r w:rsidR="009E08C6">
        <w:t xml:space="preserve"> (</w:t>
      </w:r>
      <w:r w:rsidR="009E08C6">
        <w:t>2</w:t>
      </w:r>
      <w:r w:rsidR="009E08C6" w:rsidRPr="00810C0F">
        <w:rPr>
          <w:vertAlign w:val="superscript"/>
        </w:rPr>
        <w:t>n</w:t>
      </w:r>
      <w:r w:rsidR="009E08C6">
        <w:t>:1)</w:t>
      </w:r>
      <w:r>
        <w:t xml:space="preserve"> CMOS multiplexer</w:t>
      </w:r>
      <w:r w:rsidR="009E08C6">
        <w:t xml:space="preserve"> (MUX)</w:t>
      </w:r>
      <w:r>
        <w:t xml:space="preserve"> implemented in static style. The </w:t>
      </w:r>
      <w:r w:rsidR="009E08C6">
        <w:t>optimal CMOS implementation of 2:1 and 4:1 MUX is a combination of</w:t>
      </w:r>
      <w:r>
        <w:t xml:space="preserve"> </w:t>
      </w:r>
      <w:proofErr w:type="spellStart"/>
      <w:r w:rsidR="009E08C6">
        <w:t>tri-state</w:t>
      </w:r>
      <w:proofErr w:type="spellEnd"/>
      <w:r w:rsidR="009E08C6">
        <w:t xml:space="preserve"> inverter</w:t>
      </w:r>
      <w:r w:rsidR="00BD0AF2">
        <w:t>s</w:t>
      </w:r>
      <w:r w:rsidR="009E08C6">
        <w:t xml:space="preserve"> and </w:t>
      </w:r>
      <w:r w:rsidR="000A2E86">
        <w:t>transmission-gate</w:t>
      </w:r>
      <w:r w:rsidR="00BD0AF2">
        <w:t>s</w:t>
      </w:r>
      <w:r>
        <w:t xml:space="preserve"> </w:t>
      </w:r>
      <w:r w:rsidR="009E08C6">
        <w:t>as shown in Fig. 5</w:t>
      </w:r>
      <w:r>
        <w:t xml:space="preserve">. </w:t>
      </w:r>
      <w:r w:rsidR="009E08C6">
        <w:t xml:space="preserve">Higher fan-in multiplexers can be implemented by cascade of 4:1 and 2:1 </w:t>
      </w:r>
      <w:proofErr w:type="spellStart"/>
      <w:r w:rsidR="009E08C6">
        <w:t>MUXes</w:t>
      </w:r>
      <w:proofErr w:type="spellEnd"/>
      <w:r w:rsidR="009E08C6">
        <w:t xml:space="preserve"> as shown in Fig. 6. </w:t>
      </w:r>
      <w:r>
        <w:t>The power and performance of the propose</w:t>
      </w:r>
      <w:r w:rsidR="00BD0AF2">
        <w:t>d</w:t>
      </w:r>
      <w:r>
        <w:t xml:space="preserve"> STT-LUT is determined by the multiplexer, but the reliability of its configuration is determined by the sensing reliability of the STT-latch itself. </w:t>
      </w:r>
    </w:p>
    <w:p w:rsidR="00066517" w:rsidRDefault="00066517" w:rsidP="00066517">
      <w:pPr>
        <w:pStyle w:val="Heading1"/>
        <w:spacing w:before="120"/>
      </w:pPr>
      <w:r>
        <w:t>POWER AND PERFORMANCE COMPARSIONS</w:t>
      </w:r>
    </w:p>
    <w:p w:rsidR="008652D3" w:rsidRDefault="008652D3" w:rsidP="008652D3">
      <w:pPr>
        <w:pStyle w:val="Heading2"/>
        <w:spacing w:before="0"/>
      </w:pPr>
      <w:r>
        <w:t xml:space="preserve"> Simulation Setup</w:t>
      </w:r>
    </w:p>
    <w:p w:rsidR="00967309" w:rsidRDefault="008652D3" w:rsidP="0017253C">
      <w:pPr>
        <w:spacing w:after="120"/>
      </w:pPr>
      <w:r>
        <w:t>The designs are simulated in a predictive 16nm CMOS process [</w:t>
      </w:r>
      <w:r w:rsidR="00AC1FB1">
        <w:t>7</w:t>
      </w:r>
      <w:r>
        <w:t xml:space="preserve">] with nominal supply voltage of 0.7V. </w:t>
      </w:r>
      <w:r w:rsidR="00466C44">
        <w:t>In our first simulation attempt, we keep all transistors minimum sized for both designs (NMOS: W/L=30nm/16nm and PMOS: W/L=60nm/16nm). Since the critical operation in programmable logic applications</w:t>
      </w:r>
      <w:r w:rsidR="00AC1FB1">
        <w:t>,</w:t>
      </w:r>
      <w:r w:rsidR="00466C44">
        <w:t xml:space="preserve"> where these LUTs are used</w:t>
      </w:r>
      <w:r w:rsidR="00AC1FB1">
        <w:t>,</w:t>
      </w:r>
      <w:r w:rsidR="00466C44">
        <w:t xml:space="preserve"> is the read mode, we simulated these designs in the read mode</w:t>
      </w:r>
      <w:r w:rsidR="00967309">
        <w:t>, where MTJs can be modeled as resistors</w:t>
      </w:r>
      <w:r w:rsidR="00466C44">
        <w:t xml:space="preserve">. </w:t>
      </w:r>
      <w:r w:rsidR="00967309">
        <w:t>The MTJ resistance depends on the MTJ physical geometries and specifically the thickness of the insulator and the 2D cross-section area of the MTJ, and the voltage bias (see Figure 1) [</w:t>
      </w:r>
      <w:r w:rsidR="000A08C5">
        <w:t>8</w:t>
      </w:r>
      <w:r w:rsidR="00967309">
        <w:t xml:space="preserve">]. </w:t>
      </w:r>
      <w:r w:rsidR="000A08C5">
        <w:t>The parallel state resistance (R</w:t>
      </w:r>
      <w:r w:rsidR="000A08C5" w:rsidRPr="000A08C5">
        <w:rPr>
          <w:vertAlign w:val="subscript"/>
        </w:rPr>
        <w:t>P</w:t>
      </w:r>
      <w:r w:rsidR="000A08C5">
        <w:t xml:space="preserve">) can be modeled as </w:t>
      </w:r>
      <w:r w:rsidR="00967309">
        <w:t>[</w:t>
      </w:r>
      <w:r w:rsidR="000A08C5">
        <w:t>8</w:t>
      </w:r>
      <w:r w:rsidR="009673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70"/>
      </w:tblGrid>
      <w:tr w:rsidR="00967309" w:rsidTr="00F7021B">
        <w:trPr>
          <w:trHeight w:val="413"/>
        </w:trPr>
        <w:tc>
          <w:tcPr>
            <w:tcW w:w="4248" w:type="dxa"/>
            <w:vAlign w:val="center"/>
          </w:tcPr>
          <w:p w:rsidR="00967309" w:rsidRDefault="0034338B" w:rsidP="00F7021B">
            <w:pPr>
              <w:spacing w:after="120"/>
              <w:jc w:val="cente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ox</m:t>
                        </m:r>
                      </m:sub>
                    </m:sSub>
                  </m:num>
                  <m:den>
                    <m:r>
                      <w:rPr>
                        <w:rFonts w:ascii="Cambria Math" w:hAnsi="Cambria Math"/>
                      </w:rPr>
                      <m:t>F</m:t>
                    </m:r>
                    <m:rad>
                      <m:radPr>
                        <m:degHide m:val="1"/>
                        <m:ctrlPr>
                          <w:rPr>
                            <w:rFonts w:ascii="Cambria Math" w:hAnsi="Cambria Math"/>
                            <w:i/>
                          </w:rPr>
                        </m:ctrlPr>
                      </m:radPr>
                      <m:deg/>
                      <m:e>
                        <m:r>
                          <w:rPr>
                            <w:rFonts w:ascii="Cambria Math" w:hAnsi="Cambria Math"/>
                          </w:rPr>
                          <m:t>φ</m:t>
                        </m:r>
                      </m:e>
                    </m:rad>
                    <m:r>
                      <w:rPr>
                        <w:rFonts w:ascii="Cambria Math" w:hAnsi="Cambria Math"/>
                      </w:rPr>
                      <m:t>A</m:t>
                    </m:r>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1.025</m:t>
                        </m:r>
                        <m:sSub>
                          <m:sSubPr>
                            <m:ctrlPr>
                              <w:rPr>
                                <w:rFonts w:ascii="Cambria Math" w:hAnsi="Cambria Math"/>
                                <w:i/>
                              </w:rPr>
                            </m:ctrlPr>
                          </m:sSubPr>
                          <m:e>
                            <m:r>
                              <w:rPr>
                                <w:rFonts w:ascii="Cambria Math" w:hAnsi="Cambria Math"/>
                              </w:rPr>
                              <m:t>t</m:t>
                            </m:r>
                          </m:e>
                          <m:sub>
                            <m:r>
                              <w:rPr>
                                <w:rFonts w:ascii="Cambria Math" w:hAnsi="Cambria Math"/>
                              </w:rPr>
                              <m:t>ox</m:t>
                            </m:r>
                          </m:sub>
                        </m:sSub>
                        <m:rad>
                          <m:radPr>
                            <m:degHide m:val="1"/>
                            <m:ctrlPr>
                              <w:rPr>
                                <w:rFonts w:ascii="Cambria Math" w:hAnsi="Cambria Math"/>
                                <w:i/>
                              </w:rPr>
                            </m:ctrlPr>
                          </m:radPr>
                          <m:deg/>
                          <m:e>
                            <m:r>
                              <w:rPr>
                                <w:rFonts w:ascii="Cambria Math" w:hAnsi="Cambria Math"/>
                              </w:rPr>
                              <m:t>φ</m:t>
                            </m:r>
                          </m:e>
                        </m:rad>
                      </m:e>
                    </m:d>
                  </m:sup>
                </m:sSup>
              </m:oMath>
            </m:oMathPara>
          </w:p>
        </w:tc>
        <w:tc>
          <w:tcPr>
            <w:tcW w:w="770" w:type="dxa"/>
            <w:vAlign w:val="center"/>
          </w:tcPr>
          <w:p w:rsidR="00967309" w:rsidRDefault="00967309" w:rsidP="000A08C5">
            <w:pPr>
              <w:spacing w:after="120"/>
              <w:jc w:val="center"/>
            </w:pPr>
            <w:r>
              <w:t>(</w:t>
            </w:r>
            <w:r w:rsidR="000A08C5">
              <w:t>1</w:t>
            </w:r>
            <w:r>
              <w:t>)</w:t>
            </w:r>
          </w:p>
        </w:tc>
      </w:tr>
    </w:tbl>
    <w:p w:rsidR="00967309" w:rsidRDefault="00967309" w:rsidP="000A08C5">
      <w:pPr>
        <w:pStyle w:val="BodyTextIndent"/>
        <w:ind w:firstLine="0"/>
      </w:pPr>
      <w:proofErr w:type="gramStart"/>
      <w:r>
        <w:t>where</w:t>
      </w:r>
      <w:proofErr w:type="gramEnd"/>
      <w:r>
        <w:t xml:space="preserve">, </w:t>
      </w:r>
      <w:r w:rsidRPr="00031AB9">
        <w:rPr>
          <w:i/>
          <w:iCs/>
        </w:rPr>
        <w:t>F</w:t>
      </w:r>
      <w:r>
        <w:t xml:space="preserve"> and </w:t>
      </w:r>
      <w:r w:rsidRPr="00031AB9">
        <w:rPr>
          <w:i/>
          <w:iCs/>
        </w:rPr>
        <w:t>φ</w:t>
      </w:r>
      <w:r>
        <w:t xml:space="preserve"> are the tunneling conductivity and </w:t>
      </w:r>
      <w:r w:rsidR="000A08C5">
        <w:t>potential barrier height of the insulator</w:t>
      </w:r>
      <w:r>
        <w:t xml:space="preserve">, respectively. Considering a circular shape 2D area of radius </w:t>
      </w:r>
      <w:r w:rsidRPr="00031AB9">
        <w:rPr>
          <w:i/>
          <w:iCs/>
        </w:rPr>
        <w:t>r</w:t>
      </w:r>
      <w:r>
        <w:t xml:space="preserve">, the area A is expressed as </w:t>
      </w:r>
      <w:r w:rsidRPr="00031AB9">
        <w:rPr>
          <w:i/>
          <w:iCs/>
        </w:rPr>
        <w:t>A=πr</w:t>
      </w:r>
      <w:r w:rsidRPr="00031AB9">
        <w:rPr>
          <w:i/>
          <w:iCs/>
          <w:vertAlign w:val="superscript"/>
        </w:rPr>
        <w:t>2</w:t>
      </w:r>
      <w:r>
        <w:t>.</w:t>
      </w:r>
      <w:r w:rsidR="000A08C5">
        <w:t xml:space="preserve"> </w:t>
      </w:r>
      <w:r w:rsidR="008652D3">
        <w:t xml:space="preserve">The MTJ </w:t>
      </w:r>
      <w:r>
        <w:t xml:space="preserve">parallel </w:t>
      </w:r>
      <w:r w:rsidR="008652D3">
        <w:t>re</w:t>
      </w:r>
      <w:r>
        <w:t xml:space="preserve">sistance </w:t>
      </w:r>
      <w:r w:rsidR="000A08C5">
        <w:t>is</w:t>
      </w:r>
      <w:r>
        <w:t xml:space="preserve"> estimated for the 16nm process</w:t>
      </w:r>
      <w:r w:rsidR="00466C44">
        <w:t xml:space="preserve">. </w:t>
      </w:r>
    </w:p>
    <w:p w:rsidR="00466C44" w:rsidRDefault="00466C44" w:rsidP="0017253C">
      <w:pPr>
        <w:pStyle w:val="BodyTextIndent"/>
        <w:spacing w:after="120"/>
        <w:ind w:firstLine="0"/>
      </w:pPr>
      <w:r>
        <w:t>Th</w:t>
      </w:r>
      <w:r w:rsidR="0017253C">
        <w:t>e</w:t>
      </w:r>
      <w:r>
        <w:t xml:space="preserve"> resistance difference</w:t>
      </w:r>
      <w:r w:rsidR="000A08C5">
        <w:t xml:space="preserve"> between the two MTJ states</w:t>
      </w:r>
      <w:r>
        <w:t xml:space="preserve"> is quantified by the Tunneling Magneto Resistance (TMR) parameter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70"/>
      </w:tblGrid>
      <w:tr w:rsidR="00466C44" w:rsidTr="00466C44">
        <w:trPr>
          <w:trHeight w:val="440"/>
        </w:trPr>
        <w:tc>
          <w:tcPr>
            <w:tcW w:w="4248" w:type="dxa"/>
            <w:vAlign w:val="center"/>
          </w:tcPr>
          <w:p w:rsidR="00466C44" w:rsidRPr="00466C44" w:rsidRDefault="00466C44" w:rsidP="000A08C5">
            <w:pPr>
              <w:pStyle w:val="BodyTextIndent"/>
              <w:spacing w:after="120"/>
              <w:ind w:firstLine="0"/>
              <w:jc w:val="center"/>
              <w:rPr>
                <w:rFonts w:asciiTheme="majorBidi" w:hAnsiTheme="majorBidi" w:cstheme="majorBidi"/>
              </w:rPr>
            </w:pPr>
            <m:oMathPara>
              <m:oMath>
                <m:r>
                  <w:rPr>
                    <w:rFonts w:ascii="Cambria Math" w:hAnsi="Cambria Math" w:cstheme="majorBidi"/>
                  </w:rPr>
                  <m:t>TMR=</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AP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P</m:t>
                        </m:r>
                      </m:sub>
                    </m:sSub>
                  </m:num>
                  <m:den>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P</m:t>
                        </m:r>
                      </m:sub>
                    </m:sSub>
                  </m:den>
                </m:f>
              </m:oMath>
            </m:oMathPara>
          </w:p>
        </w:tc>
        <w:tc>
          <w:tcPr>
            <w:tcW w:w="770" w:type="dxa"/>
            <w:vAlign w:val="center"/>
          </w:tcPr>
          <w:p w:rsidR="00466C44" w:rsidRPr="00466C44" w:rsidRDefault="00466C44" w:rsidP="000A08C5">
            <w:pPr>
              <w:pStyle w:val="BodyTextIndent"/>
              <w:spacing w:after="120"/>
              <w:ind w:firstLine="0"/>
              <w:jc w:val="center"/>
              <w:rPr>
                <w:rFonts w:asciiTheme="majorBidi" w:hAnsiTheme="majorBidi" w:cstheme="majorBidi"/>
              </w:rPr>
            </w:pPr>
            <w:r w:rsidRPr="00466C44">
              <w:rPr>
                <w:rFonts w:asciiTheme="majorBidi" w:hAnsiTheme="majorBidi" w:cstheme="majorBidi"/>
              </w:rPr>
              <w:t>(</w:t>
            </w:r>
            <w:r w:rsidR="000A08C5">
              <w:rPr>
                <w:rFonts w:asciiTheme="majorBidi" w:hAnsiTheme="majorBidi" w:cstheme="majorBidi"/>
              </w:rPr>
              <w:t>2</w:t>
            </w:r>
            <w:r w:rsidRPr="00466C44">
              <w:rPr>
                <w:rFonts w:asciiTheme="majorBidi" w:hAnsiTheme="majorBidi" w:cstheme="majorBidi"/>
              </w:rPr>
              <w:t>)</w:t>
            </w:r>
          </w:p>
        </w:tc>
      </w:tr>
    </w:tbl>
    <w:p w:rsidR="008652D3" w:rsidRDefault="000A08C5" w:rsidP="006A406D">
      <w:pPr>
        <w:pStyle w:val="BodyTextIndent"/>
        <w:ind w:firstLine="0"/>
      </w:pPr>
      <w:r>
        <w:t>A higher difference between R</w:t>
      </w:r>
      <w:r w:rsidRPr="000A08C5">
        <w:rPr>
          <w:vertAlign w:val="subscript"/>
        </w:rPr>
        <w:t>P</w:t>
      </w:r>
      <w:r>
        <w:t xml:space="preserve"> and R</w:t>
      </w:r>
      <w:r w:rsidRPr="000A08C5">
        <w:rPr>
          <w:vertAlign w:val="subscript"/>
        </w:rPr>
        <w:t>AP</w:t>
      </w:r>
      <w:r>
        <w:t xml:space="preserve"> results in better read performance and reliability. </w:t>
      </w:r>
      <w:r w:rsidR="00B373DD">
        <w:t xml:space="preserve">Hence, for </w:t>
      </w:r>
      <w:r>
        <w:t>the</w:t>
      </w:r>
      <w:r w:rsidR="00B373DD">
        <w:t xml:space="preserve"> STT-LUTs used </w:t>
      </w:r>
      <w:r w:rsidR="0065566A">
        <w:t>in</w:t>
      </w:r>
      <w:r w:rsidR="00B373DD">
        <w:t xml:space="preserve"> reconfigurable logic application, </w:t>
      </w:r>
      <w:r w:rsidR="0065566A">
        <w:t xml:space="preserve">higher TMR even if it is at the cost of higher written power and delay is desirable. </w:t>
      </w:r>
      <w:r>
        <w:t xml:space="preserve">Using crystalline </w:t>
      </w:r>
      <w:proofErr w:type="spellStart"/>
      <w:r>
        <w:t>MgO</w:t>
      </w:r>
      <w:proofErr w:type="spellEnd"/>
      <w:r>
        <w:t xml:space="preserve"> as the insulator, TMR up to 6 is reported [9]</w:t>
      </w:r>
      <w:r w:rsidR="0065566A">
        <w:t xml:space="preserve">. In this study, we </w:t>
      </w:r>
      <w:r>
        <w:t>choose</w:t>
      </w:r>
      <w:r w:rsidR="0065566A">
        <w:t xml:space="preserve"> a TMR value of 4. </w:t>
      </w:r>
    </w:p>
    <w:p w:rsidR="0065566A" w:rsidRDefault="0065566A" w:rsidP="006A406D">
      <w:pPr>
        <w:pStyle w:val="BodyTextIndent"/>
        <w:ind w:firstLine="0"/>
      </w:pPr>
      <w:r>
        <w:t xml:space="preserve">Figure 5 shows the simulation waveform of the proposed 2-input </w:t>
      </w:r>
      <w:r w:rsidR="006A406D">
        <w:t>DSR</w:t>
      </w:r>
      <w:r>
        <w:t xml:space="preserve"> STT-LUT. Each input is a monotonic differential signal that is zero when the clock is low and differential when the clock is high. The output also exhibits such a monotonic pattern. The inputs are scanned through all possible combinations and the MTJs are programmed to be at R</w:t>
      </w:r>
      <w:r w:rsidR="006A406D" w:rsidRPr="006A406D">
        <w:rPr>
          <w:vertAlign w:val="subscript"/>
        </w:rPr>
        <w:t>P</w:t>
      </w:r>
      <w:r>
        <w:t xml:space="preserve"> and R</w:t>
      </w:r>
      <w:r w:rsidR="006A406D" w:rsidRPr="006A406D">
        <w:rPr>
          <w:vertAlign w:val="subscript"/>
        </w:rPr>
        <w:t>AP</w:t>
      </w:r>
      <w:r>
        <w:t xml:space="preserve"> levels such that the outputs toggle in every cycle. </w:t>
      </w:r>
    </w:p>
    <w:p w:rsidR="008B197E" w:rsidRDefault="008652D3" w:rsidP="007646D3">
      <w:pPr>
        <w:pStyle w:val="Heading2"/>
        <w:spacing w:before="0"/>
      </w:pPr>
      <w:r>
        <w:t>Results and Comparisons</w:t>
      </w:r>
    </w:p>
    <w:p w:rsidR="009C4D60" w:rsidRDefault="009C4D60" w:rsidP="00571120">
      <w:pPr>
        <w:spacing w:after="0"/>
      </w:pPr>
      <w:r>
        <w:t xml:space="preserve">Delay is measured from rising edge of the clock (input) to the rising edge of the output. The delay of the DCM STT-LUT is dependent on the size of the capacitor of the dynamic current </w:t>
      </w:r>
      <w:r>
        <w:lastRenderedPageBreak/>
        <w:t xml:space="preserve">source (Figure 3). We sweep this capacitor from 0 to 100 </w:t>
      </w:r>
      <w:proofErr w:type="spellStart"/>
      <w:r>
        <w:t>fF.</w:t>
      </w:r>
      <w:proofErr w:type="spellEnd"/>
      <w:r>
        <w:t xml:space="preserve"> Figure 6 shows the delay comparison results for LUT fan-in ranging from 2 to 6 inputs. The delay of the DCM STT-LUT reduces by increasing the capacitor value. The proposed design shows significant delay improvement and its delay remains better than that of the DCM style irrespective of the capacitor value for the DCM current source. The improvements range from 3.3X to 16% depending on the fan-in and the capacitor value. </w:t>
      </w:r>
      <w:r w:rsidR="0078289B">
        <w:t>Notice that the DCM style fails to operate at fan-in of 6 and hence there is no data for DCM LUT6.</w:t>
      </w:r>
    </w:p>
    <w:p w:rsidR="008B197E" w:rsidRDefault="001A7772" w:rsidP="00571120">
      <w:pPr>
        <w:spacing w:after="0"/>
      </w:pPr>
      <w:r>
        <w:t xml:space="preserve">Figure 7 shows the comparison of the active mode power consumption of the DCM and </w:t>
      </w:r>
      <w:r w:rsidR="00240AE9">
        <w:t>DSR</w:t>
      </w:r>
      <w:r>
        <w:t xml:space="preserve"> STT-LUTs. </w:t>
      </w:r>
      <w:r w:rsidR="009C4D60">
        <w:t xml:space="preserve"> </w:t>
      </w:r>
      <w:r>
        <w:t xml:space="preserve">The power of the DCM style increases at higher capacitor values due to increase charge transfer in the dynamic current source. Unless the capacitor values are very small, the power of the proposed </w:t>
      </w:r>
      <w:r w:rsidR="00240AE9">
        <w:t>DSR</w:t>
      </w:r>
      <w:r>
        <w:t xml:space="preserve"> STT-LUT is lower than that of the DCM style. For high values of the capacitor, the power improvements of the </w:t>
      </w:r>
      <w:r w:rsidR="00240AE9">
        <w:t>DSR</w:t>
      </w:r>
      <w:r>
        <w:t xml:space="preserve"> over DCM range from 1.5X to 2.4X depending on the LUT fan-in.</w:t>
      </w:r>
    </w:p>
    <w:tbl>
      <w:tblPr>
        <w:tblStyle w:val="TableGrid"/>
        <w:tblpPr w:leftFromText="180" w:rightFromText="180" w:vertAnchor="page" w:horzAnchor="margin" w:tblpXSpec="right" w:tblpY="4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1A7772" w:rsidTr="00571120">
        <w:tc>
          <w:tcPr>
            <w:tcW w:w="5018" w:type="dxa"/>
          </w:tcPr>
          <w:p w:rsidR="0036014E" w:rsidRDefault="0036014E" w:rsidP="0036014E">
            <w:pPr>
              <w:jc w:val="center"/>
              <w:rPr>
                <w:color w:val="000000"/>
                <w:sz w:val="20"/>
              </w:rPr>
            </w:pPr>
            <w:r>
              <w:rPr>
                <w:noProof/>
                <w:color w:val="000000"/>
                <w:sz w:val="20"/>
              </w:rPr>
              <w:drawing>
                <wp:inline distT="0" distB="0" distL="0" distR="0" wp14:anchorId="17BE4950" wp14:editId="7A0F3DA1">
                  <wp:extent cx="1211817" cy="11642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5890" cy="1168136"/>
                          </a:xfrm>
                          <a:prstGeom prst="rect">
                            <a:avLst/>
                          </a:prstGeom>
                          <a:noFill/>
                          <a:ln>
                            <a:noFill/>
                          </a:ln>
                        </pic:spPr>
                      </pic:pic>
                    </a:graphicData>
                  </a:graphic>
                </wp:inline>
              </w:drawing>
            </w:r>
            <w:r>
              <w:rPr>
                <w:noProof/>
                <w:color w:val="000000"/>
                <w:sz w:val="20"/>
              </w:rPr>
              <w:drawing>
                <wp:inline distT="0" distB="0" distL="0" distR="0" wp14:anchorId="35BC32D7" wp14:editId="0FF7246C">
                  <wp:extent cx="1366838" cy="210009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7995" cy="2101869"/>
                          </a:xfrm>
                          <a:prstGeom prst="rect">
                            <a:avLst/>
                          </a:prstGeom>
                          <a:noFill/>
                          <a:ln>
                            <a:noFill/>
                          </a:ln>
                        </pic:spPr>
                      </pic:pic>
                    </a:graphicData>
                  </a:graphic>
                </wp:inline>
              </w:drawing>
            </w:r>
            <w:r w:rsidRPr="0036014E">
              <w:rPr>
                <w:color w:val="000000"/>
                <w:sz w:val="20"/>
              </w:rPr>
              <w:t xml:space="preserve"> </w:t>
            </w:r>
          </w:p>
          <w:p w:rsidR="0036014E" w:rsidRPr="0036014E" w:rsidRDefault="0036014E" w:rsidP="0036014E">
            <w:pPr>
              <w:rPr>
                <w:noProof/>
                <w:color w:val="000000"/>
                <w:sz w:val="20"/>
              </w:rPr>
            </w:pPr>
            <w:r>
              <w:rPr>
                <w:color w:val="000000"/>
                <w:sz w:val="20"/>
              </w:rPr>
              <w:t xml:space="preserve">                    (a)                     </w:t>
            </w:r>
            <w:r w:rsidRPr="0036014E">
              <w:rPr>
                <w:color w:val="000000"/>
                <w:sz w:val="20"/>
              </w:rPr>
              <w:t xml:space="preserve">               </w:t>
            </w:r>
            <w:r>
              <w:rPr>
                <w:color w:val="000000"/>
                <w:sz w:val="20"/>
              </w:rPr>
              <w:t xml:space="preserve">  </w:t>
            </w:r>
            <w:r w:rsidRPr="0036014E">
              <w:rPr>
                <w:color w:val="000000"/>
                <w:sz w:val="20"/>
              </w:rPr>
              <w:t xml:space="preserve">         (b)   </w:t>
            </w:r>
            <w:r>
              <w:rPr>
                <w:color w:val="000000"/>
                <w:sz w:val="20"/>
              </w:rPr>
              <w:t xml:space="preserve">   </w:t>
            </w:r>
          </w:p>
        </w:tc>
      </w:tr>
      <w:tr w:rsidR="001A7772" w:rsidTr="00571120">
        <w:tc>
          <w:tcPr>
            <w:tcW w:w="5018" w:type="dxa"/>
          </w:tcPr>
          <w:p w:rsidR="001A7772" w:rsidRDefault="001A7772" w:rsidP="0036014E">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sidR="0036014E">
              <w:rPr>
                <w:rFonts w:ascii="Times New Roman" w:eastAsia="Times New Roman" w:hAnsi="Times New Roman" w:cs="Miriam"/>
                <w:b/>
                <w:bCs/>
                <w:szCs w:val="18"/>
                <w:lang w:eastAsia="en-AU"/>
              </w:rPr>
              <w:t>6</w:t>
            </w:r>
            <w:r>
              <w:rPr>
                <w:rFonts w:ascii="Times New Roman" w:eastAsia="Times New Roman" w:hAnsi="Times New Roman" w:cs="Miriam"/>
                <w:b/>
                <w:bCs/>
                <w:szCs w:val="18"/>
                <w:lang w:eastAsia="en-AU"/>
              </w:rPr>
              <w:t>.</w:t>
            </w:r>
            <w:r w:rsidRPr="006F1A8E">
              <w:rPr>
                <w:rFonts w:ascii="Times New Roman" w:eastAsia="Times New Roman" w:hAnsi="Times New Roman" w:cs="Miriam"/>
                <w:b/>
                <w:bCs/>
                <w:szCs w:val="18"/>
                <w:lang w:eastAsia="en-AU"/>
              </w:rPr>
              <w:t xml:space="preserve"> </w:t>
            </w:r>
            <w:r w:rsidR="0036014E">
              <w:rPr>
                <w:rFonts w:ascii="Times New Roman" w:eastAsia="Times New Roman" w:hAnsi="Times New Roman" w:cs="Miriam"/>
                <w:b/>
                <w:bCs/>
                <w:szCs w:val="18"/>
                <w:lang w:eastAsia="en-AU"/>
              </w:rPr>
              <w:t>Building higher order multiplexers using cascade of 4:1 and 2:1 multiplexers (a) 8:1 mux (b) 16:1 mux</w:t>
            </w:r>
          </w:p>
        </w:tc>
      </w:tr>
    </w:tbl>
    <w:p w:rsidR="001A7772" w:rsidRDefault="001A7772" w:rsidP="00476ED2">
      <w:pPr>
        <w:spacing w:after="0"/>
      </w:pPr>
      <w:r>
        <w:t xml:space="preserve">Due to the power delay trade-off by changing the capacitor values in the DCM style, the Power-Delay Product (PDP) can present a unified comparison between the two styles. Figure 8 shows the </w:t>
      </w:r>
      <w:r w:rsidR="00966378">
        <w:t>PDP comparisons. There is a</w:t>
      </w:r>
      <w:r w:rsidR="00DD1A93">
        <w:t>n optimum</w:t>
      </w:r>
      <w:r w:rsidR="00966378">
        <w:t xml:space="preserve"> capacitor value that results in minimum PDP for the DCM style. However, the </w:t>
      </w:r>
      <w:r w:rsidR="00DD1A93">
        <w:t>DSR</w:t>
      </w:r>
      <w:r w:rsidR="00966378">
        <w:t xml:space="preserve"> style always shows better PDP than the DCM style. Compared to the highest PDP point of the DCM, the </w:t>
      </w:r>
      <w:r w:rsidR="00DD1A93">
        <w:t>DSR</w:t>
      </w:r>
      <w:r w:rsidR="00966378">
        <w:t xml:space="preserve"> reduces the PDP from 1.8X to 3.2X depending on the fan-in. Compared with the </w:t>
      </w:r>
      <w:r w:rsidR="00966378">
        <w:lastRenderedPageBreak/>
        <w:t xml:space="preserve">minimum PDP point for the </w:t>
      </w:r>
      <w:proofErr w:type="gramStart"/>
      <w:r w:rsidR="00966378">
        <w:t>DCM,</w:t>
      </w:r>
      <w:proofErr w:type="gramEnd"/>
      <w:r w:rsidR="00966378">
        <w:t xml:space="preserve"> the </w:t>
      </w:r>
      <w:r w:rsidR="00DD1A93">
        <w:t>DSR</w:t>
      </w:r>
      <w:r w:rsidR="00966378">
        <w:t xml:space="preserve"> reduce</w:t>
      </w:r>
      <w:r w:rsidR="00DD1A93">
        <w:t>s</w:t>
      </w:r>
      <w:r w:rsidR="00966378">
        <w:t xml:space="preserve"> the PDP from 1.4X to 1.8X depending on the fan-in. </w:t>
      </w:r>
      <w:r>
        <w:t xml:space="preserve"> </w:t>
      </w:r>
    </w:p>
    <w:p w:rsidR="00966378" w:rsidRDefault="00966378" w:rsidP="00DD1A93">
      <w:pPr>
        <w:spacing w:after="120"/>
      </w:pPr>
      <w:r>
        <w:t xml:space="preserve">The standby power of the STT-LUTs can be zero if the power supply is </w:t>
      </w:r>
      <w:r w:rsidR="00C53DB1">
        <w:t>turned</w:t>
      </w:r>
      <w:r>
        <w:t xml:space="preserve">-off in the standby mode. Given the non-volatile nature of the MTJ storage, the data will not be lost in the standby mode. The active mode leakage power is already included in the total active mode power comparisons shown in Figure 7. Figure 9 shows a </w:t>
      </w:r>
      <w:r w:rsidR="00C53DB1">
        <w:t>separate</w:t>
      </w:r>
      <w:r>
        <w:t xml:space="preserve"> </w:t>
      </w:r>
      <w:r w:rsidR="00C53DB1">
        <w:t>comparison</w:t>
      </w:r>
      <w:r>
        <w:t xml:space="preserve"> of only the leakage component of the active mode power.</w:t>
      </w:r>
      <w:r w:rsidR="00C53DB1">
        <w:t xml:space="preserve"> The proposed </w:t>
      </w:r>
      <w:r w:rsidR="00DD1A93">
        <w:t>DSR</w:t>
      </w:r>
      <w:r w:rsidR="00C53DB1">
        <w:t xml:space="preserve"> design shows much leakage power due to the less stacking of OFF transistors in the standby condition, when clock is zero. In the DCM style, when clock is zero</w:t>
      </w:r>
      <w:r w:rsidR="002E1EFD">
        <w:t xml:space="preserve"> (CLK’=VDD)</w:t>
      </w:r>
      <w:r w:rsidR="00C53DB1">
        <w:t xml:space="preserve"> the sense amplifier will be supply gated in </w:t>
      </w:r>
      <w:r w:rsidR="002E1EFD">
        <w:t>addition</w:t>
      </w:r>
      <w:r w:rsidR="00C53DB1">
        <w:t xml:space="preserve"> to the selection trees. In the </w:t>
      </w:r>
      <w:r w:rsidR="00DD1A93">
        <w:t>DSR</w:t>
      </w:r>
      <w:r w:rsidR="00C53DB1">
        <w:t xml:space="preserve"> styl</w:t>
      </w:r>
      <w:r w:rsidR="002E1EFD">
        <w:t>e</w:t>
      </w:r>
      <w:r w:rsidR="00C53DB1">
        <w:t xml:space="preserve"> however, there is a single shared power gating transistor (REN) that has to be la</w:t>
      </w:r>
      <w:r w:rsidR="002E1EFD">
        <w:t>r</w:t>
      </w:r>
      <w:r w:rsidR="00C53DB1">
        <w:t>ge because it is a shared transi</w:t>
      </w:r>
      <w:r w:rsidR="002E1EFD">
        <w:t>s</w:t>
      </w:r>
      <w:r w:rsidR="00C53DB1">
        <w:t xml:space="preserve">tor among multiple LUTs. </w:t>
      </w:r>
      <w:r w:rsidR="002E1EFD">
        <w:t>Nonetheless</w:t>
      </w:r>
      <w:r w:rsidR="00C53DB1">
        <w:t xml:space="preserve">, this </w:t>
      </w:r>
      <w:bookmarkStart w:id="0" w:name="_GoBack"/>
      <w:bookmarkEnd w:id="0"/>
      <w:r w:rsidR="00C53DB1">
        <w:t xml:space="preserve">leakage will be zero once the supply is </w:t>
      </w:r>
      <w:r w:rsidR="002E1EFD">
        <w:t>turned</w:t>
      </w:r>
      <w:r w:rsidR="00C53DB1">
        <w:t xml:space="preserve"> off in the standby condition. In the active mode, Figure 8 </w:t>
      </w:r>
      <w:r w:rsidR="002E1EFD">
        <w:t>already</w:t>
      </w:r>
      <w:r w:rsidR="00C53DB1">
        <w:t xml:space="preserve"> showed tha</w:t>
      </w:r>
      <w:r w:rsidR="002E1EFD">
        <w:t>t</w:t>
      </w:r>
      <w:r w:rsidR="00C53DB1">
        <w:t xml:space="preserve"> the proposed </w:t>
      </w:r>
      <w:r w:rsidR="002E1EFD">
        <w:t>design</w:t>
      </w:r>
      <w:r w:rsidR="00C53DB1">
        <w:t xml:space="preserve"> offer</w:t>
      </w:r>
      <w:r w:rsidR="002E1EFD">
        <w:t>s</w:t>
      </w:r>
      <w:r w:rsidR="00C53DB1">
        <w:t xml:space="preserve"> better PDP that the DCM </w:t>
      </w:r>
      <w:r w:rsidR="002E1EFD">
        <w:t>s</w:t>
      </w:r>
      <w:r w:rsidR="00C53DB1">
        <w:t xml:space="preserve">tyle. </w:t>
      </w:r>
    </w:p>
    <w:p w:rsidR="008B197E" w:rsidRDefault="007F3520">
      <w:pPr>
        <w:pStyle w:val="Heading1"/>
        <w:spacing w:before="120"/>
      </w:pPr>
      <w:r>
        <w:t>ROBUSTNESS</w:t>
      </w:r>
      <w:r w:rsidR="0078289B">
        <w:t xml:space="preserve"> ANALYSIS AND COMPARISONS</w:t>
      </w:r>
    </w:p>
    <w:p w:rsidR="0078289B" w:rsidRDefault="0078289B" w:rsidP="0078289B">
      <w:pPr>
        <w:pStyle w:val="Heading2"/>
        <w:spacing w:before="0"/>
      </w:pPr>
      <w:r>
        <w:t>MTJ Variations</w:t>
      </w:r>
    </w:p>
    <w:tbl>
      <w:tblPr>
        <w:tblStyle w:val="TableGrid"/>
        <w:tblpPr w:leftFromText="180" w:rightFromText="180" w:vertAnchor="page" w:horzAnchor="margin" w:tblpY="9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571120" w:rsidTr="00571120">
        <w:tc>
          <w:tcPr>
            <w:tcW w:w="5018" w:type="dxa"/>
          </w:tcPr>
          <w:p w:rsidR="00BE67F5" w:rsidRDefault="00BE67F5" w:rsidP="00BE67F5">
            <w:pPr>
              <w:jc w:val="center"/>
              <w:rPr>
                <w:color w:val="000000"/>
                <w:sz w:val="20"/>
              </w:rPr>
            </w:pPr>
            <w:r>
              <w:rPr>
                <w:noProof/>
                <w:color w:val="000000"/>
                <w:sz w:val="20"/>
              </w:rPr>
              <w:drawing>
                <wp:inline distT="0" distB="0" distL="0" distR="0">
                  <wp:extent cx="3195955"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1557655"/>
                          </a:xfrm>
                          <a:prstGeom prst="rect">
                            <a:avLst/>
                          </a:prstGeom>
                          <a:noFill/>
                          <a:ln>
                            <a:noFill/>
                          </a:ln>
                        </pic:spPr>
                      </pic:pic>
                    </a:graphicData>
                  </a:graphic>
                </wp:inline>
              </w:drawing>
            </w:r>
          </w:p>
          <w:p w:rsidR="00571120" w:rsidRDefault="00BE67F5" w:rsidP="00BE67F5">
            <w:pPr>
              <w:jc w:val="center"/>
              <w:rPr>
                <w:color w:val="000000"/>
                <w:sz w:val="20"/>
              </w:rPr>
            </w:pPr>
            <w:r>
              <w:rPr>
                <w:color w:val="000000"/>
                <w:sz w:val="20"/>
              </w:rPr>
              <w:t>(a)</w:t>
            </w:r>
          </w:p>
          <w:p w:rsidR="00BE67F5" w:rsidRDefault="00BE67F5" w:rsidP="00BE67F5">
            <w:pPr>
              <w:jc w:val="center"/>
              <w:rPr>
                <w:color w:val="000000"/>
                <w:sz w:val="20"/>
              </w:rPr>
            </w:pPr>
            <w:r>
              <w:rPr>
                <w:noProof/>
                <w:color w:val="000000"/>
                <w:sz w:val="20"/>
              </w:rPr>
              <w:drawing>
                <wp:inline distT="0" distB="0" distL="0" distR="0">
                  <wp:extent cx="3195955" cy="2643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2643505"/>
                          </a:xfrm>
                          <a:prstGeom prst="rect">
                            <a:avLst/>
                          </a:prstGeom>
                          <a:noFill/>
                          <a:ln>
                            <a:noFill/>
                          </a:ln>
                        </pic:spPr>
                      </pic:pic>
                    </a:graphicData>
                  </a:graphic>
                </wp:inline>
              </w:drawing>
            </w:r>
          </w:p>
          <w:p w:rsidR="00BE67F5" w:rsidRDefault="00BE67F5" w:rsidP="00BE67F5">
            <w:pPr>
              <w:jc w:val="center"/>
              <w:rPr>
                <w:color w:val="000000"/>
                <w:sz w:val="20"/>
              </w:rPr>
            </w:pPr>
            <w:r>
              <w:rPr>
                <w:color w:val="000000"/>
                <w:sz w:val="20"/>
              </w:rPr>
              <w:t>(b)</w:t>
            </w:r>
          </w:p>
        </w:tc>
      </w:tr>
      <w:tr w:rsidR="00571120" w:rsidTr="00571120">
        <w:tc>
          <w:tcPr>
            <w:tcW w:w="5018" w:type="dxa"/>
          </w:tcPr>
          <w:p w:rsidR="00571120" w:rsidRDefault="00571120" w:rsidP="00BD0AF2">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sidR="00BD0AF2">
              <w:rPr>
                <w:rFonts w:ascii="Times New Roman" w:eastAsia="Times New Roman" w:hAnsi="Times New Roman" w:cs="Miriam"/>
                <w:b/>
                <w:bCs/>
                <w:szCs w:val="18"/>
                <w:lang w:eastAsia="en-AU"/>
              </w:rPr>
              <w:t>5</w:t>
            </w:r>
            <w:r>
              <w:rPr>
                <w:rFonts w:ascii="Times New Roman" w:eastAsia="Times New Roman" w:hAnsi="Times New Roman" w:cs="Miriam"/>
                <w:b/>
                <w:bCs/>
                <w:szCs w:val="18"/>
                <w:lang w:eastAsia="en-AU"/>
              </w:rPr>
              <w:t>.</w:t>
            </w:r>
            <w:r w:rsidRPr="006F1A8E">
              <w:rPr>
                <w:rFonts w:ascii="Times New Roman" w:eastAsia="Times New Roman" w:hAnsi="Times New Roman" w:cs="Miriam"/>
                <w:b/>
                <w:bCs/>
                <w:szCs w:val="18"/>
                <w:lang w:eastAsia="en-AU"/>
              </w:rPr>
              <w:t xml:space="preserve"> </w:t>
            </w:r>
            <w:r w:rsidR="00BD0AF2">
              <w:rPr>
                <w:rFonts w:ascii="Times New Roman" w:eastAsia="Times New Roman" w:hAnsi="Times New Roman" w:cs="Miriam"/>
                <w:b/>
                <w:bCs/>
                <w:szCs w:val="18"/>
                <w:lang w:eastAsia="en-AU"/>
              </w:rPr>
              <w:t>Static multiplexers: (a) 2:1 and (b) 4:1</w:t>
            </w:r>
          </w:p>
        </w:tc>
      </w:tr>
    </w:tbl>
    <w:p w:rsidR="004C23E2" w:rsidRDefault="00435BF8" w:rsidP="00476ED2">
      <w:pPr>
        <w:spacing w:after="0"/>
      </w:pPr>
      <w:r>
        <w:t xml:space="preserve">According to Figure 1(b) and Equation (1), the resistance of the MTJ is dependent on bias as well as MTJ geometries.  </w:t>
      </w:r>
      <w:r w:rsidR="000A08C5">
        <w:t xml:space="preserve">Given the </w:t>
      </w:r>
      <w:r>
        <w:t xml:space="preserve">MTJ </w:t>
      </w:r>
      <w:r w:rsidR="000A08C5">
        <w:t>voltage bias is fixed</w:t>
      </w:r>
      <w:r>
        <w:t xml:space="preserve"> in the read mode</w:t>
      </w:r>
      <w:r w:rsidR="000A08C5">
        <w:t>, we concentrate on the influence of MTJ geometrical variations. The two geometries of most influence are the insulator thickness (</w:t>
      </w:r>
      <w:proofErr w:type="spellStart"/>
      <w:r w:rsidR="000A08C5" w:rsidRPr="00435BF8">
        <w:rPr>
          <w:i/>
          <w:iCs/>
        </w:rPr>
        <w:t>t</w:t>
      </w:r>
      <w:r w:rsidR="000A08C5" w:rsidRPr="00435BF8">
        <w:rPr>
          <w:i/>
          <w:iCs/>
          <w:vertAlign w:val="subscript"/>
        </w:rPr>
        <w:t>ox</w:t>
      </w:r>
      <w:proofErr w:type="spellEnd"/>
      <w:r w:rsidR="000A08C5">
        <w:t>) and the cross-section area (A</w:t>
      </w:r>
      <w:r w:rsidRPr="00031AB9">
        <w:rPr>
          <w:i/>
          <w:iCs/>
        </w:rPr>
        <w:t>=πr</w:t>
      </w:r>
      <w:r w:rsidRPr="00031AB9">
        <w:rPr>
          <w:i/>
          <w:iCs/>
          <w:vertAlign w:val="superscript"/>
        </w:rPr>
        <w:t>2</w:t>
      </w:r>
      <w:r w:rsidR="000A08C5">
        <w:t xml:space="preserve">) as expressed by </w:t>
      </w:r>
      <w:r>
        <w:t xml:space="preserve">Equation </w:t>
      </w:r>
      <w:r w:rsidR="000A08C5">
        <w:t xml:space="preserve">(1). </w:t>
      </w:r>
      <w:r w:rsidR="00D366DD">
        <w:t xml:space="preserve">Assume the </w:t>
      </w:r>
      <w:proofErr w:type="spellStart"/>
      <w:r w:rsidR="00D366DD">
        <w:t>t</w:t>
      </w:r>
      <w:r w:rsidR="00D366DD" w:rsidRPr="00D366DD">
        <w:rPr>
          <w:vertAlign w:val="subscript"/>
        </w:rPr>
        <w:t>ox</w:t>
      </w:r>
      <w:proofErr w:type="spellEnd"/>
      <w:r w:rsidR="00D366DD">
        <w:t xml:space="preserve"> and </w:t>
      </w:r>
      <w:r w:rsidR="00031AB9">
        <w:t>r</w:t>
      </w:r>
      <w:r w:rsidR="00D366DD">
        <w:t xml:space="preserve"> exhibit variations represented by </w:t>
      </w:r>
      <w:proofErr w:type="spellStart"/>
      <w:proofErr w:type="gramStart"/>
      <w:r w:rsidR="00D366DD" w:rsidRPr="00DB366C">
        <w:rPr>
          <w:i/>
          <w:iCs/>
        </w:rPr>
        <w:t>dt</w:t>
      </w:r>
      <w:proofErr w:type="spellEnd"/>
      <w:proofErr w:type="gramEnd"/>
      <w:r w:rsidR="00D366DD">
        <w:t xml:space="preserve"> and </w:t>
      </w:r>
      <w:proofErr w:type="spellStart"/>
      <w:r w:rsidR="00D366DD" w:rsidRPr="00DB366C">
        <w:rPr>
          <w:i/>
          <w:iCs/>
        </w:rPr>
        <w:t>d</w:t>
      </w:r>
      <w:r w:rsidR="00031AB9" w:rsidRPr="00DB366C">
        <w:rPr>
          <w:i/>
          <w:iCs/>
        </w:rPr>
        <w:t>r</w:t>
      </w:r>
      <w:proofErr w:type="spellEnd"/>
      <w:r w:rsidR="00D366DD">
        <w:t xml:space="preserve"> from their nominal values, respectively. </w:t>
      </w:r>
      <w:r w:rsidR="00750174">
        <w:t xml:space="preserve">Treating </w:t>
      </w:r>
      <w:proofErr w:type="spellStart"/>
      <w:proofErr w:type="gramStart"/>
      <w:r w:rsidR="00750174" w:rsidRPr="00DB366C">
        <w:rPr>
          <w:i/>
          <w:iCs/>
        </w:rPr>
        <w:t>dt</w:t>
      </w:r>
      <w:proofErr w:type="spellEnd"/>
      <w:proofErr w:type="gramEnd"/>
      <w:r w:rsidR="00750174">
        <w:t xml:space="preserve"> and </w:t>
      </w:r>
      <w:proofErr w:type="spellStart"/>
      <w:r w:rsidR="00750174" w:rsidRPr="00DB366C">
        <w:rPr>
          <w:i/>
          <w:iCs/>
        </w:rPr>
        <w:t>d</w:t>
      </w:r>
      <w:r w:rsidR="00DB366C" w:rsidRPr="00DB366C">
        <w:rPr>
          <w:i/>
          <w:iCs/>
        </w:rPr>
        <w:t>r</w:t>
      </w:r>
      <w:proofErr w:type="spellEnd"/>
      <w:r w:rsidR="00750174">
        <w:t xml:space="preserve"> as uncorrelated normal random variables with mean value of zero and </w:t>
      </w:r>
      <w:r w:rsidR="00DB366C">
        <w:t xml:space="preserve">given </w:t>
      </w:r>
      <w:r w:rsidR="00750174">
        <w:t>standard deviation</w:t>
      </w:r>
      <w:r w:rsidR="00DB366C">
        <w:t>s</w:t>
      </w:r>
      <w:r w:rsidR="00750174">
        <w:t>, we can obtain the distributions of MTJ resistances. Fig</w:t>
      </w:r>
      <w:r w:rsidR="00476ED2">
        <w:t>ure</w:t>
      </w:r>
      <w:r w:rsidR="00750174">
        <w:t xml:space="preserve"> 10 shows the distributions of </w:t>
      </w:r>
      <w:r>
        <w:t>R</w:t>
      </w:r>
      <w:r w:rsidRPr="00435BF8">
        <w:rPr>
          <w:vertAlign w:val="subscript"/>
        </w:rPr>
        <w:t>P</w:t>
      </w:r>
      <w:r w:rsidR="00750174">
        <w:t xml:space="preserve"> and R</w:t>
      </w:r>
      <w:r w:rsidRPr="00435BF8">
        <w:rPr>
          <w:vertAlign w:val="subscript"/>
        </w:rPr>
        <w:t>AP</w:t>
      </w:r>
      <w:r w:rsidR="00750174">
        <w:t xml:space="preserve"> </w:t>
      </w:r>
      <w:r w:rsidR="00D33D58">
        <w:t>and the reference resistor (R</w:t>
      </w:r>
      <w:r w:rsidR="00D33D58" w:rsidRPr="00D33D58">
        <w:rPr>
          <w:vertAlign w:val="subscript"/>
        </w:rPr>
        <w:t>REF</w:t>
      </w:r>
      <w:r w:rsidR="00D33D58">
        <w:t xml:space="preserve">) </w:t>
      </w:r>
      <w:r w:rsidR="00750174">
        <w:t xml:space="preserve">with </w:t>
      </w:r>
      <w:r w:rsidR="00DB366C">
        <w:t xml:space="preserve">standard deviation of </w:t>
      </w:r>
      <w:proofErr w:type="spellStart"/>
      <w:proofErr w:type="gramStart"/>
      <w:r w:rsidR="00D33D58" w:rsidRPr="00DB366C">
        <w:rPr>
          <w:i/>
          <w:iCs/>
        </w:rPr>
        <w:t>d</w:t>
      </w:r>
      <w:r w:rsidR="00750174" w:rsidRPr="00DB366C">
        <w:rPr>
          <w:i/>
          <w:iCs/>
        </w:rPr>
        <w:t>t</w:t>
      </w:r>
      <w:proofErr w:type="spellEnd"/>
      <w:proofErr w:type="gramEnd"/>
      <w:r w:rsidR="00750174">
        <w:t xml:space="preserve"> and </w:t>
      </w:r>
      <w:proofErr w:type="spellStart"/>
      <w:r w:rsidR="00D33D58" w:rsidRPr="00DB366C">
        <w:rPr>
          <w:i/>
          <w:iCs/>
        </w:rPr>
        <w:t>d</w:t>
      </w:r>
      <w:r w:rsidR="00DB366C" w:rsidRPr="00DB366C">
        <w:rPr>
          <w:i/>
          <w:iCs/>
        </w:rPr>
        <w:t>r</w:t>
      </w:r>
      <w:proofErr w:type="spellEnd"/>
      <w:r w:rsidR="00DB366C">
        <w:t xml:space="preserve"> set at 10% of the nominal </w:t>
      </w:r>
      <w:proofErr w:type="spellStart"/>
      <w:r w:rsidR="00DB366C" w:rsidRPr="00DB366C">
        <w:rPr>
          <w:i/>
          <w:iCs/>
        </w:rPr>
        <w:t>t</w:t>
      </w:r>
      <w:r w:rsidR="00DB366C" w:rsidRPr="00DB366C">
        <w:rPr>
          <w:i/>
          <w:iCs/>
          <w:vertAlign w:val="subscript"/>
        </w:rPr>
        <w:t>ox</w:t>
      </w:r>
      <w:proofErr w:type="spellEnd"/>
      <w:r w:rsidR="00DB366C">
        <w:t xml:space="preserve"> </w:t>
      </w:r>
      <w:r w:rsidR="00941E05">
        <w:t xml:space="preserve">(1 nm) </w:t>
      </w:r>
      <w:r w:rsidR="00DB366C">
        <w:t xml:space="preserve">and </w:t>
      </w:r>
      <w:r w:rsidR="00DB366C" w:rsidRPr="00DB366C">
        <w:rPr>
          <w:i/>
          <w:iCs/>
        </w:rPr>
        <w:t>r</w:t>
      </w:r>
      <w:r w:rsidR="00DB366C">
        <w:t xml:space="preserve"> </w:t>
      </w:r>
      <w:r w:rsidR="00941E05">
        <w:t xml:space="preserve">(16 nm) </w:t>
      </w:r>
      <w:r w:rsidR="00DB366C">
        <w:t>values in a 16nm process node</w:t>
      </w:r>
      <w:r w:rsidR="00750174">
        <w:t>.</w:t>
      </w:r>
    </w:p>
    <w:p w:rsidR="00857948" w:rsidRDefault="002867C9" w:rsidP="00476ED2">
      <w:pPr>
        <w:spacing w:after="0"/>
      </w:pPr>
      <w:r>
        <w:t>The read failure occurs when the R</w:t>
      </w:r>
      <w:r w:rsidR="00435BF8" w:rsidRPr="00435BF8">
        <w:rPr>
          <w:vertAlign w:val="subscript"/>
        </w:rPr>
        <w:t>P</w:t>
      </w:r>
      <w:r>
        <w:t xml:space="preserve"> is increased or R</w:t>
      </w:r>
      <w:r w:rsidR="00435BF8" w:rsidRPr="00435BF8">
        <w:rPr>
          <w:vertAlign w:val="subscript"/>
        </w:rPr>
        <w:t>AP</w:t>
      </w:r>
      <w:r>
        <w:t xml:space="preserve"> is decreased. </w:t>
      </w:r>
      <w:r w:rsidR="00641F38">
        <w:t>An</w:t>
      </w:r>
      <w:r w:rsidR="00857948">
        <w:t xml:space="preserve"> accurate estimate of reliability against MTJ process variations </w:t>
      </w:r>
      <w:r w:rsidR="00641F38">
        <w:t>can be obtained by</w:t>
      </w:r>
      <w:r w:rsidR="00857948">
        <w:t xml:space="preserve"> appl</w:t>
      </w:r>
      <w:r w:rsidR="00641F38">
        <w:t>ying</w:t>
      </w:r>
      <w:r w:rsidR="00857948">
        <w:t xml:space="preserve"> statistical variation</w:t>
      </w:r>
      <w:r w:rsidR="00435BF8">
        <w:t>s</w:t>
      </w:r>
      <w:r w:rsidR="00857948">
        <w:t xml:space="preserve"> to </w:t>
      </w:r>
      <w:proofErr w:type="spellStart"/>
      <w:r w:rsidR="00857948" w:rsidRPr="00435BF8">
        <w:rPr>
          <w:i/>
          <w:iCs/>
        </w:rPr>
        <w:t>t</w:t>
      </w:r>
      <w:r w:rsidR="00857948" w:rsidRPr="00435BF8">
        <w:rPr>
          <w:i/>
          <w:iCs/>
          <w:vertAlign w:val="subscript"/>
        </w:rPr>
        <w:t>ox</w:t>
      </w:r>
      <w:proofErr w:type="spellEnd"/>
      <w:r w:rsidR="00857948">
        <w:t xml:space="preserve"> and </w:t>
      </w:r>
      <w:r w:rsidR="00435BF8" w:rsidRPr="00435BF8">
        <w:rPr>
          <w:i/>
          <w:iCs/>
        </w:rPr>
        <w:t>r</w:t>
      </w:r>
      <w:r w:rsidR="00857948">
        <w:t xml:space="preserve"> of the MTJ and measur</w:t>
      </w:r>
      <w:r w:rsidR="005600F4">
        <w:t>ing</w:t>
      </w:r>
      <w:r w:rsidR="00857948">
        <w:t xml:space="preserve"> the failure rate of the STT_LUT read operation. </w:t>
      </w:r>
    </w:p>
    <w:p w:rsidR="0078289B" w:rsidRDefault="0078289B" w:rsidP="0078289B">
      <w:pPr>
        <w:pStyle w:val="Heading2"/>
        <w:spacing w:before="0"/>
      </w:pPr>
      <w:r>
        <w:lastRenderedPageBreak/>
        <w:t>Transistor Variations</w:t>
      </w:r>
    </w:p>
    <w:p w:rsidR="0078289B" w:rsidRDefault="00857948" w:rsidP="00F262E7">
      <w:pPr>
        <w:spacing w:after="120"/>
      </w:pPr>
      <w:r>
        <w:t>The primary source of variations in bulk CMOS transistors is random threshold voltage (</w:t>
      </w:r>
      <w:proofErr w:type="spellStart"/>
      <w:proofErr w:type="gramStart"/>
      <w:r>
        <w:t>Vt</w:t>
      </w:r>
      <w:proofErr w:type="spellEnd"/>
      <w:proofErr w:type="gramEnd"/>
      <w:r>
        <w:t>) variations caused by Random Dopant Fluctuations (RDF)</w:t>
      </w:r>
      <w:r w:rsidR="004F206F">
        <w:t xml:space="preserve"> [</w:t>
      </w:r>
      <w:r w:rsidR="00F262E7">
        <w:t>10</w:t>
      </w:r>
      <w:r w:rsidR="004F206F">
        <w:t>]</w:t>
      </w:r>
      <w:r>
        <w:t xml:space="preserve">. The </w:t>
      </w:r>
      <w:r w:rsidR="004F206F">
        <w:t xml:space="preserve">RDF induced </w:t>
      </w:r>
      <w:proofErr w:type="spellStart"/>
      <w:r>
        <w:t>Vt</w:t>
      </w:r>
      <w:proofErr w:type="spellEnd"/>
      <w:r>
        <w:t xml:space="preserve"> variation from the nominal </w:t>
      </w:r>
      <w:proofErr w:type="spellStart"/>
      <w:r>
        <w:t>Vt</w:t>
      </w:r>
      <w:proofErr w:type="spellEnd"/>
      <w:r>
        <w:t xml:space="preserve"> (Vt</w:t>
      </w:r>
      <w:r w:rsidRPr="004F206F">
        <w:rPr>
          <w:vertAlign w:val="subscript"/>
        </w:rPr>
        <w:t>0</w:t>
      </w:r>
      <w:r>
        <w:t>)</w:t>
      </w:r>
      <w:r w:rsidR="004F206F">
        <w:t xml:space="preserve"> (</w:t>
      </w:r>
      <w:proofErr w:type="spellStart"/>
      <w:r w:rsidR="004F206F">
        <w:t>dvt</w:t>
      </w:r>
      <w:proofErr w:type="spellEnd"/>
      <w:r w:rsidR="004F206F">
        <w:t>=Vt-Vt</w:t>
      </w:r>
      <w:r w:rsidR="004F206F" w:rsidRPr="004F206F">
        <w:rPr>
          <w:vertAlign w:val="subscript"/>
        </w:rPr>
        <w:t>0</w:t>
      </w:r>
      <w:r w:rsidR="004F206F">
        <w:t>)</w:t>
      </w:r>
      <w:r w:rsidR="004F63E9">
        <w:t xml:space="preserve"> for a transistor of size L (channel length) and W (channel width)</w:t>
      </w:r>
      <w:r w:rsidR="004F206F">
        <w:t>, follows a normal distribution with a standard deviation inversely proportional to the square root of the transistor area as follows [</w:t>
      </w:r>
      <w:r w:rsidR="00F262E7">
        <w:t>10</w:t>
      </w:r>
      <w:r w:rsidR="004F206F">
        <w:t>]:</w:t>
      </w:r>
    </w:p>
    <w:tbl>
      <w:tblPr>
        <w:tblW w:w="4770" w:type="dxa"/>
        <w:tblInd w:w="-90" w:type="dxa"/>
        <w:tblLayout w:type="fixed"/>
        <w:tblCellMar>
          <w:left w:w="0" w:type="dxa"/>
          <w:right w:w="0" w:type="dxa"/>
        </w:tblCellMar>
        <w:tblLook w:val="01E0" w:firstRow="1" w:lastRow="1" w:firstColumn="1" w:lastColumn="1" w:noHBand="0" w:noVBand="0"/>
      </w:tblPr>
      <w:tblGrid>
        <w:gridCol w:w="4410"/>
        <w:gridCol w:w="360"/>
      </w:tblGrid>
      <w:tr w:rsidR="004F206F" w:rsidRPr="000F5DF6" w:rsidTr="005B33C9">
        <w:trPr>
          <w:trHeight w:val="612"/>
        </w:trPr>
        <w:tc>
          <w:tcPr>
            <w:tcW w:w="4410" w:type="dxa"/>
            <w:vAlign w:val="center"/>
          </w:tcPr>
          <w:p w:rsidR="004F206F" w:rsidRPr="000F5DF6" w:rsidRDefault="004F206F" w:rsidP="005B33C9">
            <w:pPr>
              <w:rPr>
                <w:rFonts w:ascii="Cambria" w:eastAsia="MS Mincho" w:hAnsi="Cambria"/>
                <w:szCs w:val="24"/>
              </w:rPr>
            </w:pPr>
            <w:r w:rsidRPr="000F5DF6">
              <w:rPr>
                <w:rFonts w:ascii="Cambria" w:eastAsia="MS Mincho" w:hAnsi="Cambria"/>
                <w:szCs w:val="24"/>
              </w:rPr>
              <w:object w:dxaOrig="553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4pt;height:30pt" o:ole="" fillcolor="window">
                  <v:imagedata r:id="rId21" o:title=""/>
                </v:shape>
                <o:OLEObject Type="Embed" ProgID="Equation.3" ShapeID="_x0000_i1025" DrawAspect="Content" ObjectID="_1525542500" r:id="rId22"/>
              </w:object>
            </w:r>
          </w:p>
        </w:tc>
        <w:tc>
          <w:tcPr>
            <w:tcW w:w="360" w:type="dxa"/>
            <w:vAlign w:val="center"/>
          </w:tcPr>
          <w:p w:rsidR="004F206F" w:rsidRPr="000F5DF6" w:rsidRDefault="004F206F" w:rsidP="00F262E7">
            <w:pPr>
              <w:rPr>
                <w:rFonts w:ascii="Cambria" w:eastAsia="MS Mincho" w:hAnsi="Cambria"/>
                <w:szCs w:val="24"/>
              </w:rPr>
            </w:pPr>
            <w:r w:rsidRPr="000F5DF6">
              <w:rPr>
                <w:rFonts w:ascii="Cambria" w:eastAsia="MS Mincho" w:hAnsi="Cambria"/>
                <w:szCs w:val="24"/>
              </w:rPr>
              <w:t>(</w:t>
            </w:r>
            <w:r w:rsidR="00F262E7">
              <w:rPr>
                <w:rFonts w:ascii="Cambria" w:eastAsia="MS Mincho" w:hAnsi="Cambria"/>
                <w:szCs w:val="24"/>
              </w:rPr>
              <w:t>3</w:t>
            </w:r>
            <w:r w:rsidRPr="000F5DF6">
              <w:rPr>
                <w:rFonts w:ascii="Cambria" w:eastAsia="MS Mincho" w:hAnsi="Cambria"/>
                <w:szCs w:val="24"/>
              </w:rPr>
              <w:t>)</w:t>
            </w:r>
          </w:p>
        </w:tc>
      </w:tr>
    </w:tbl>
    <w:p w:rsidR="004F206F" w:rsidRDefault="004F206F" w:rsidP="00476ED2">
      <w:pPr>
        <w:spacing w:after="0"/>
      </w:pPr>
      <w:r>
        <w:t>where all the process parameters are lumped into σ</w:t>
      </w:r>
      <w:r w:rsidRPr="004F206F">
        <w:rPr>
          <w:vertAlign w:val="subscript"/>
        </w:rPr>
        <w:t>dvt0</w:t>
      </w:r>
      <w:r>
        <w:t xml:space="preserve"> representing the standard deviation of the threshold voltage variation of a minimum sized transistor</w:t>
      </w:r>
      <w:r w:rsidR="004F63E9">
        <w:t xml:space="preserve"> with channel length and width of L</w:t>
      </w:r>
      <w:r w:rsidR="004F63E9" w:rsidRPr="004F63E9">
        <w:rPr>
          <w:vertAlign w:val="subscript"/>
        </w:rPr>
        <w:t>min</w:t>
      </w:r>
      <w:r w:rsidR="004F63E9">
        <w:t xml:space="preserve"> and W</w:t>
      </w:r>
      <w:r w:rsidR="004F63E9" w:rsidRPr="004F63E9">
        <w:rPr>
          <w:vertAlign w:val="subscript"/>
        </w:rPr>
        <w:t>min</w:t>
      </w:r>
      <w:r>
        <w:t xml:space="preserve">. </w:t>
      </w:r>
      <w:r w:rsidR="004F63E9">
        <w:t xml:space="preserve">Increasing the transistor area provides a means to reduce the influence of variations at the cost of increase </w:t>
      </w:r>
      <w:r w:rsidR="00F262E7">
        <w:t xml:space="preserve">in </w:t>
      </w:r>
      <w:r w:rsidR="004F63E9">
        <w:t xml:space="preserve">area and power.  To quantify the STT </w:t>
      </w:r>
      <w:r w:rsidR="00E7533D">
        <w:t>robustness</w:t>
      </w:r>
      <w:r w:rsidR="004F63E9">
        <w:t xml:space="preserve"> against </w:t>
      </w:r>
      <w:proofErr w:type="gramStart"/>
      <w:r w:rsidR="004F63E9">
        <w:t>Vt</w:t>
      </w:r>
      <w:proofErr w:type="gramEnd"/>
      <w:r w:rsidR="004F63E9">
        <w:t xml:space="preserve"> variations, the read </w:t>
      </w:r>
      <w:r w:rsidR="00E7533D">
        <w:t xml:space="preserve">sensing </w:t>
      </w:r>
      <w:r w:rsidR="004F63E9">
        <w:t xml:space="preserve">failure rate can be measured by applying statistical variations to the </w:t>
      </w:r>
      <w:r w:rsidR="000F5DF6">
        <w:t>threshold</w:t>
      </w:r>
      <w:r w:rsidR="004F63E9">
        <w:t xml:space="preserve"> voltages of </w:t>
      </w:r>
      <w:r w:rsidR="000F5DF6">
        <w:t>transistors</w:t>
      </w:r>
      <w:r w:rsidR="004F63E9">
        <w:t xml:space="preserve"> in the STT-LUT.</w:t>
      </w:r>
    </w:p>
    <w:tbl>
      <w:tblPr>
        <w:tblStyle w:val="TableGrid"/>
        <w:tblpPr w:leftFromText="180" w:rightFromText="180" w:vertAnchor="text" w:horzAnchor="margin" w:tblpXSpec="right" w:tblpY="33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2452"/>
      </w:tblGrid>
      <w:tr w:rsidR="00476ED2" w:rsidTr="00476ED2">
        <w:tc>
          <w:tcPr>
            <w:tcW w:w="2566" w:type="dxa"/>
          </w:tcPr>
          <w:p w:rsidR="00476ED2" w:rsidRDefault="00476ED2" w:rsidP="00476ED2">
            <w:pPr>
              <w:spacing w:after="120"/>
              <w:jc w:val="left"/>
            </w:pPr>
            <w:r>
              <w:rPr>
                <w:noProof/>
              </w:rPr>
              <w:drawing>
                <wp:inline distT="0" distB="0" distL="0" distR="0" wp14:anchorId="03629A10" wp14:editId="78BCFF99">
                  <wp:extent cx="1562519" cy="12044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J_resistance_distribution_tmr1.tif"/>
                          <pic:cNvPicPr/>
                        </pic:nvPicPr>
                        <pic:blipFill rotWithShape="1">
                          <a:blip r:embed="rId23" cstate="print">
                            <a:extLst>
                              <a:ext uri="{28A0092B-C50C-407E-A947-70E740481C1C}">
                                <a14:useLocalDpi xmlns:a14="http://schemas.microsoft.com/office/drawing/2010/main" val="0"/>
                              </a:ext>
                            </a:extLst>
                          </a:blip>
                          <a:srcRect r="6607"/>
                          <a:stretch/>
                        </pic:blipFill>
                        <pic:spPr bwMode="auto">
                          <a:xfrm>
                            <a:off x="0" y="0"/>
                            <a:ext cx="1564391" cy="1205886"/>
                          </a:xfrm>
                          <a:prstGeom prst="rect">
                            <a:avLst/>
                          </a:prstGeom>
                          <a:ln>
                            <a:noFill/>
                          </a:ln>
                          <a:extLst>
                            <a:ext uri="{53640926-AAD7-44D8-BBD7-CCE9431645EC}">
                              <a14:shadowObscured xmlns:a14="http://schemas.microsoft.com/office/drawing/2010/main"/>
                            </a:ext>
                          </a:extLst>
                        </pic:spPr>
                      </pic:pic>
                    </a:graphicData>
                  </a:graphic>
                </wp:inline>
              </w:drawing>
            </w:r>
          </w:p>
          <w:p w:rsidR="00476ED2" w:rsidRDefault="00476ED2" w:rsidP="00476ED2">
            <w:pPr>
              <w:spacing w:after="120"/>
              <w:jc w:val="center"/>
            </w:pPr>
            <w:r>
              <w:t>(a)</w:t>
            </w:r>
          </w:p>
        </w:tc>
        <w:tc>
          <w:tcPr>
            <w:tcW w:w="2452" w:type="dxa"/>
          </w:tcPr>
          <w:p w:rsidR="00476ED2" w:rsidRDefault="00476ED2" w:rsidP="00476ED2">
            <w:pPr>
              <w:spacing w:after="120"/>
              <w:jc w:val="center"/>
            </w:pPr>
            <w:r>
              <w:rPr>
                <w:noProof/>
              </w:rPr>
              <w:drawing>
                <wp:inline distT="0" distB="0" distL="0" distR="0" wp14:anchorId="05A67BBC" wp14:editId="5EE58508">
                  <wp:extent cx="1477147" cy="120580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J_resistance_distribution_tmr4.tif"/>
                          <pic:cNvPicPr/>
                        </pic:nvPicPr>
                        <pic:blipFill rotWithShape="1">
                          <a:blip r:embed="rId24" cstate="print">
                            <a:extLst>
                              <a:ext uri="{28A0092B-C50C-407E-A947-70E740481C1C}">
                                <a14:useLocalDpi xmlns:a14="http://schemas.microsoft.com/office/drawing/2010/main" val="0"/>
                              </a:ext>
                            </a:extLst>
                          </a:blip>
                          <a:srcRect l="-1" r="5763"/>
                          <a:stretch/>
                        </pic:blipFill>
                        <pic:spPr bwMode="auto">
                          <a:xfrm>
                            <a:off x="0" y="0"/>
                            <a:ext cx="1480043" cy="1208166"/>
                          </a:xfrm>
                          <a:prstGeom prst="rect">
                            <a:avLst/>
                          </a:prstGeom>
                          <a:ln>
                            <a:noFill/>
                          </a:ln>
                          <a:extLst>
                            <a:ext uri="{53640926-AAD7-44D8-BBD7-CCE9431645EC}">
                              <a14:shadowObscured xmlns:a14="http://schemas.microsoft.com/office/drawing/2010/main"/>
                            </a:ext>
                          </a:extLst>
                        </pic:spPr>
                      </pic:pic>
                    </a:graphicData>
                  </a:graphic>
                </wp:inline>
              </w:drawing>
            </w:r>
          </w:p>
          <w:p w:rsidR="00476ED2" w:rsidRDefault="00476ED2" w:rsidP="00476ED2">
            <w:pPr>
              <w:spacing w:after="120"/>
              <w:jc w:val="center"/>
            </w:pPr>
            <w:r>
              <w:t>(b)</w:t>
            </w:r>
          </w:p>
        </w:tc>
      </w:tr>
      <w:tr w:rsidR="00476ED2" w:rsidTr="00476ED2">
        <w:tc>
          <w:tcPr>
            <w:tcW w:w="5018" w:type="dxa"/>
            <w:gridSpan w:val="2"/>
          </w:tcPr>
          <w:p w:rsidR="00476ED2" w:rsidRPr="006D30B5" w:rsidRDefault="00476ED2" w:rsidP="00476ED2">
            <w:pPr>
              <w:spacing w:after="120"/>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10.</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Distributions of MTJ R</w:t>
            </w:r>
            <w:r w:rsidRPr="006D30B5">
              <w:rPr>
                <w:rFonts w:ascii="Times New Roman" w:eastAsia="Times New Roman" w:hAnsi="Times New Roman" w:cs="Miriam"/>
                <w:b/>
                <w:bCs/>
                <w:szCs w:val="18"/>
                <w:vertAlign w:val="subscript"/>
                <w:lang w:eastAsia="en-AU"/>
              </w:rPr>
              <w:t>P</w:t>
            </w:r>
            <w:r>
              <w:rPr>
                <w:rFonts w:ascii="Times New Roman" w:eastAsia="Times New Roman" w:hAnsi="Times New Roman" w:cs="Miriam"/>
                <w:b/>
                <w:bCs/>
                <w:szCs w:val="18"/>
                <w:lang w:eastAsia="en-AU"/>
              </w:rPr>
              <w:t>, R</w:t>
            </w:r>
            <w:r w:rsidRPr="006D30B5">
              <w:rPr>
                <w:rFonts w:ascii="Times New Roman" w:eastAsia="Times New Roman" w:hAnsi="Times New Roman" w:cs="Miriam"/>
                <w:b/>
                <w:bCs/>
                <w:szCs w:val="18"/>
                <w:vertAlign w:val="subscript"/>
                <w:lang w:eastAsia="en-AU"/>
              </w:rPr>
              <w:t>AP</w:t>
            </w:r>
            <w:r>
              <w:rPr>
                <w:rFonts w:ascii="Times New Roman" w:eastAsia="Times New Roman" w:hAnsi="Times New Roman" w:cs="Miriam"/>
                <w:b/>
                <w:bCs/>
                <w:szCs w:val="18"/>
                <w:lang w:eastAsia="en-AU"/>
              </w:rPr>
              <w:t>, and R</w:t>
            </w:r>
            <w:r w:rsidRPr="006D30B5">
              <w:rPr>
                <w:rFonts w:ascii="Times New Roman" w:eastAsia="Times New Roman" w:hAnsi="Times New Roman" w:cs="Miriam"/>
                <w:b/>
                <w:bCs/>
                <w:szCs w:val="18"/>
                <w:vertAlign w:val="subscript"/>
                <w:lang w:eastAsia="en-AU"/>
              </w:rPr>
              <w:t>REF</w:t>
            </w:r>
            <w:r>
              <w:rPr>
                <w:rFonts w:ascii="Times New Roman" w:eastAsia="Times New Roman" w:hAnsi="Times New Roman" w:cs="Miriam"/>
                <w:b/>
                <w:bCs/>
                <w:szCs w:val="18"/>
                <w:lang w:eastAsia="en-AU"/>
              </w:rPr>
              <w:t xml:space="preserve"> at 16nm process for (a) TMR=1 and (b) TMR=4</w:t>
            </w:r>
          </w:p>
        </w:tc>
      </w:tr>
    </w:tbl>
    <w:p w:rsidR="0078289B" w:rsidRDefault="00DB366C" w:rsidP="0078289B">
      <w:pPr>
        <w:pStyle w:val="Heading2"/>
        <w:spacing w:before="0"/>
      </w:pPr>
      <w:r>
        <w:t>Robustness</w:t>
      </w:r>
      <w:r w:rsidR="0078289B">
        <w:t xml:space="preserve"> Comparison</w:t>
      </w:r>
      <w:r w:rsidR="000F5DF6">
        <w:t>s</w:t>
      </w:r>
    </w:p>
    <w:p w:rsidR="00852131" w:rsidRDefault="00F15120" w:rsidP="00852131">
      <w:pPr>
        <w:spacing w:after="0"/>
      </w:pPr>
      <w:r>
        <w:t>There are two possible failures in the read mode: read sensing failure and read</w:t>
      </w:r>
      <w:r w:rsidRPr="00F15120">
        <w:t xml:space="preserve"> </w:t>
      </w:r>
      <w:r>
        <w:t xml:space="preserve">disturbance failure. The read sensing failure is related to the incorrect sensing by the sense amplifier due to the presence of mismatch caused by CMOS and MTJ variations resulting in low sensing margin. The read disturbance failure is a read operation in which the </w:t>
      </w:r>
      <w:r w:rsidR="00321317">
        <w:t xml:space="preserve">read </w:t>
      </w:r>
      <w:r>
        <w:t>current passing through the MTJ exceeds the critical write current resulting in the flipping of the state of the MTJ (i.e. write operation). In STT-LUTs the re</w:t>
      </w:r>
      <w:r w:rsidR="00321317">
        <w:t>a</w:t>
      </w:r>
      <w:r>
        <w:t xml:space="preserve">d sensing failure is the dominant type because of the stack of </w:t>
      </w:r>
      <w:r>
        <w:lastRenderedPageBreak/>
        <w:t>transistors in the read path (i.e. in the multiplexer tree) limits the read current. Hence, we focus on the read sensing failures. Random statistical variations are applied to MTJ parameters (</w:t>
      </w:r>
      <w:proofErr w:type="spellStart"/>
      <w:r w:rsidRPr="00E7533D">
        <w:rPr>
          <w:i/>
          <w:iCs/>
        </w:rPr>
        <w:t>t</w:t>
      </w:r>
      <w:r w:rsidRPr="00E7533D">
        <w:rPr>
          <w:i/>
          <w:iCs/>
          <w:vertAlign w:val="subscript"/>
        </w:rPr>
        <w:t>ox</w:t>
      </w:r>
      <w:proofErr w:type="spellEnd"/>
      <w:r>
        <w:t xml:space="preserve"> and </w:t>
      </w:r>
      <w:r w:rsidRPr="00E7533D">
        <w:rPr>
          <w:i/>
          <w:iCs/>
        </w:rPr>
        <w:t>r</w:t>
      </w:r>
      <w:r>
        <w:t>) and threshold voltage (</w:t>
      </w:r>
      <w:proofErr w:type="spellStart"/>
      <w:r w:rsidRPr="00E7533D">
        <w:rPr>
          <w:i/>
          <w:iCs/>
        </w:rPr>
        <w:t>dvt</w:t>
      </w:r>
      <w:proofErr w:type="spellEnd"/>
      <w:r>
        <w:t xml:space="preserve">) </w:t>
      </w:r>
      <w:r w:rsidR="00C6198E">
        <w:t xml:space="preserve">and </w:t>
      </w:r>
      <w:r w:rsidR="00E7533D">
        <w:t xml:space="preserve">read sensing </w:t>
      </w:r>
      <w:r w:rsidR="00C6198E">
        <w:t>failure rate</w:t>
      </w:r>
      <w:r w:rsidR="00452DE0">
        <w:t>s</w:t>
      </w:r>
      <w:r w:rsidR="00C6198E">
        <w:t xml:space="preserve"> of the STT-LUTs</w:t>
      </w:r>
      <w:r w:rsidR="00452DE0">
        <w:t xml:space="preserve"> are measured</w:t>
      </w:r>
      <w:r w:rsidR="00C6198E">
        <w:t>.</w:t>
      </w:r>
      <w:r w:rsidR="0050011F">
        <w:t xml:space="preserve"> The standard deviation</w:t>
      </w:r>
      <w:r w:rsidR="00321317">
        <w:t>s</w:t>
      </w:r>
      <w:r w:rsidR="0050011F">
        <w:t xml:space="preserve"> of </w:t>
      </w:r>
      <w:proofErr w:type="spellStart"/>
      <w:r w:rsidR="0050011F" w:rsidRPr="00321317">
        <w:rPr>
          <w:i/>
          <w:iCs/>
        </w:rPr>
        <w:t>t</w:t>
      </w:r>
      <w:r w:rsidR="0050011F" w:rsidRPr="00321317">
        <w:rPr>
          <w:i/>
          <w:iCs/>
          <w:vertAlign w:val="subscript"/>
        </w:rPr>
        <w:t>ox</w:t>
      </w:r>
      <w:proofErr w:type="spellEnd"/>
      <w:r w:rsidR="0050011F">
        <w:t xml:space="preserve"> and </w:t>
      </w:r>
      <w:r w:rsidR="00321317" w:rsidRPr="00321317">
        <w:rPr>
          <w:i/>
          <w:iCs/>
        </w:rPr>
        <w:t>r</w:t>
      </w:r>
      <w:r w:rsidR="0050011F">
        <w:t xml:space="preserve"> variations are set at 10% of their nominal values. In the 16nm </w:t>
      </w:r>
    </w:p>
    <w:tbl>
      <w:tblPr>
        <w:tblStyle w:val="TableGrid"/>
        <w:tblpPr w:leftFromText="180" w:rightFromText="180" w:vertAnchor="page" w:horzAnchor="margin" w:tblpY="12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852131" w:rsidTr="00852131">
        <w:tc>
          <w:tcPr>
            <w:tcW w:w="5018" w:type="dxa"/>
          </w:tcPr>
          <w:p w:rsidR="00852131" w:rsidRPr="009C368B" w:rsidRDefault="00852131" w:rsidP="00852131">
            <w:pPr>
              <w:jc w:val="center"/>
              <w:rPr>
                <w:color w:val="000000"/>
                <w:szCs w:val="22"/>
              </w:rPr>
            </w:pPr>
            <w:r>
              <w:rPr>
                <w:noProof/>
                <w:color w:val="000000"/>
                <w:szCs w:val="22"/>
              </w:rPr>
              <w:drawing>
                <wp:inline distT="0" distB="0" distL="0" distR="0" wp14:anchorId="262D646A" wp14:editId="36720E8D">
                  <wp:extent cx="3048000" cy="1833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0" cy="1833880"/>
                          </a:xfrm>
                          <a:prstGeom prst="rect">
                            <a:avLst/>
                          </a:prstGeom>
                          <a:noFill/>
                          <a:ln>
                            <a:noFill/>
                          </a:ln>
                        </pic:spPr>
                      </pic:pic>
                    </a:graphicData>
                  </a:graphic>
                </wp:inline>
              </w:drawing>
            </w:r>
          </w:p>
        </w:tc>
      </w:tr>
      <w:tr w:rsidR="00852131" w:rsidTr="00852131">
        <w:tc>
          <w:tcPr>
            <w:tcW w:w="5018" w:type="dxa"/>
          </w:tcPr>
          <w:p w:rsidR="00852131" w:rsidRDefault="00852131" w:rsidP="00852131">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11.</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Monte-Carlo statistical simulation waveforms showing STT-LUT read sensing failures</w:t>
            </w:r>
          </w:p>
        </w:tc>
      </w:tr>
    </w:tbl>
    <w:p w:rsidR="00E763E6" w:rsidRDefault="0050011F" w:rsidP="00852131">
      <w:pPr>
        <w:spacing w:after="0"/>
      </w:pPr>
      <w:r>
        <w:t xml:space="preserve">CMOS model used, the NMOS threshold voltage of a minimum sized transistor </w:t>
      </w:r>
      <w:r w:rsidR="00452DE0">
        <w:t>with the</w:t>
      </w:r>
      <w:r>
        <w:t xml:space="preserve"> short channel effects </w:t>
      </w:r>
      <w:r w:rsidR="00452DE0">
        <w:t xml:space="preserve">applied </w:t>
      </w:r>
      <w:r>
        <w:t xml:space="preserve">was found to be 233 mV. The standard variation of </w:t>
      </w:r>
      <w:proofErr w:type="spellStart"/>
      <w:proofErr w:type="gramStart"/>
      <w:r w:rsidRPr="00321317">
        <w:rPr>
          <w:i/>
          <w:iCs/>
        </w:rPr>
        <w:t>Vt</w:t>
      </w:r>
      <w:proofErr w:type="spellEnd"/>
      <w:proofErr w:type="gramEnd"/>
      <w:r>
        <w:t xml:space="preserve"> variation was set at 30mV which is 13% of the nominal value. Figure 1</w:t>
      </w:r>
      <w:r w:rsidR="00321317">
        <w:t>1</w:t>
      </w:r>
      <w:r>
        <w:t xml:space="preserve"> </w:t>
      </w:r>
      <w:r w:rsidR="00C42283">
        <w:t xml:space="preserve">shows </w:t>
      </w:r>
      <w:r w:rsidR="005D78B3">
        <w:t>waveforms</w:t>
      </w:r>
      <w:r w:rsidR="00C42283">
        <w:t xml:space="preserve"> from</w:t>
      </w:r>
      <w:r w:rsidR="005D78B3">
        <w:t xml:space="preserve"> </w:t>
      </w:r>
      <w:r w:rsidR="00C42283">
        <w:t>statistical monte-</w:t>
      </w:r>
      <w:proofErr w:type="spellStart"/>
      <w:r w:rsidR="00C42283">
        <w:t>carlo</w:t>
      </w:r>
      <w:proofErr w:type="spellEnd"/>
      <w:r w:rsidR="00C42283">
        <w:t xml:space="preserve"> </w:t>
      </w:r>
      <w:r w:rsidR="005D78B3">
        <w:t>simulations</w:t>
      </w:r>
      <w:r w:rsidR="00C42283">
        <w:t xml:space="preserve"> showing failure cases. All the MTJ cells are read from the STT-LUT, and read failure is defined if a wrong value is read from any cell</w:t>
      </w:r>
      <w:r w:rsidR="005D78B3">
        <w:t>s</w:t>
      </w:r>
      <w:r w:rsidR="00C42283">
        <w:t xml:space="preserve"> or if the delay of reading the correct </w:t>
      </w:r>
      <w:r w:rsidR="005D78B3">
        <w:t>values</w:t>
      </w:r>
      <w:r w:rsidR="00C42283">
        <w:t xml:space="preserve"> of a cell </w:t>
      </w:r>
      <w:r w:rsidR="005D78B3">
        <w:t>exceeds</w:t>
      </w:r>
      <w:r w:rsidR="00C42283">
        <w:t xml:space="preserve"> 500pS</w:t>
      </w:r>
      <w:r w:rsidR="00171D2C">
        <w:t xml:space="preserve"> (half the evaluation cycle time)</w:t>
      </w:r>
      <w:r w:rsidR="00C42283">
        <w:t xml:space="preserve">. If reading from any of the MTJ cells fail, the </w:t>
      </w:r>
      <w:r w:rsidR="005D78B3">
        <w:t>entire</w:t>
      </w:r>
      <w:r w:rsidR="00C42283">
        <w:t xml:space="preserve"> STT-LUT is considered faulty.  </w:t>
      </w:r>
    </w:p>
    <w:p w:rsidR="0002610E" w:rsidRDefault="00171D2C" w:rsidP="00852131">
      <w:pPr>
        <w:spacing w:after="0"/>
      </w:pPr>
      <w:r>
        <w:t>Fig</w:t>
      </w:r>
      <w:r w:rsidR="00476ED2">
        <w:t>ure</w:t>
      </w:r>
      <w:r>
        <w:t xml:space="preserve"> 1</w:t>
      </w:r>
      <w:r w:rsidR="00321317">
        <w:t>2</w:t>
      </w:r>
      <w:r>
        <w:t xml:space="preserve"> </w:t>
      </w:r>
      <w:r w:rsidR="0050011F">
        <w:t xml:space="preserve">shows the </w:t>
      </w:r>
      <w:r w:rsidR="005F277C">
        <w:t xml:space="preserve">comparison of </w:t>
      </w:r>
      <w:r w:rsidR="000C7E0E">
        <w:t xml:space="preserve">delay distributions and </w:t>
      </w:r>
      <w:r w:rsidR="005F277C">
        <w:t>failure rates under intra-die variations of these process parameters</w:t>
      </w:r>
      <w:r w:rsidR="00B67C1C">
        <w:t xml:space="preserve"> for the 2-input STT-LUTs</w:t>
      </w:r>
      <w:r w:rsidR="005F277C">
        <w:t xml:space="preserve">. </w:t>
      </w:r>
      <w:r w:rsidR="00B67C1C">
        <w:t xml:space="preserve">The capacitor of the DCM STT-LUT is chosen for its minimum PDP point (C=3fF from Figure 8). </w:t>
      </w:r>
      <w:r w:rsidR="008B3BB6">
        <w:t>Figure 1</w:t>
      </w:r>
      <w:r w:rsidR="00321317">
        <w:t>2</w:t>
      </w:r>
      <w:r w:rsidR="008B3BB6">
        <w:t>(a) shows the delay distributions of the success cases. D</w:t>
      </w:r>
      <w:r w:rsidR="00321317">
        <w:t>SR</w:t>
      </w:r>
      <w:r w:rsidR="008B3BB6">
        <w:t xml:space="preserve"> offers a lower and tighter delay distribution with 29% reduction in the mean and 45% reduction is the standard deviation of the delay. Figure 1</w:t>
      </w:r>
      <w:r w:rsidR="00321317">
        <w:t>2</w:t>
      </w:r>
      <w:r w:rsidR="008B3BB6">
        <w:t>(b) shows the delay histogram with the failure cases lumped into a single bin at 500pS. The proposed D</w:t>
      </w:r>
      <w:r w:rsidR="00321317">
        <w:t>SR</w:t>
      </w:r>
      <w:r w:rsidR="008B3BB6">
        <w:t xml:space="preserve"> style reduces the failure rate by 38%. </w:t>
      </w:r>
    </w:p>
    <w:tbl>
      <w:tblPr>
        <w:tblStyle w:val="TableGrid"/>
        <w:tblpPr w:leftFromText="180" w:rightFromText="180" w:vertAnchor="page" w:horzAnchor="margin" w:tblpY="47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B7569A" w:rsidTr="00852131">
        <w:tc>
          <w:tcPr>
            <w:tcW w:w="5018" w:type="dxa"/>
          </w:tcPr>
          <w:p w:rsidR="00B7569A" w:rsidRDefault="00722763" w:rsidP="00852131">
            <w:pPr>
              <w:jc w:val="center"/>
              <w:rPr>
                <w:color w:val="000000"/>
                <w:szCs w:val="22"/>
              </w:rPr>
            </w:pPr>
            <w:r>
              <w:rPr>
                <w:noProof/>
                <w:color w:val="000000"/>
                <w:szCs w:val="22"/>
              </w:rPr>
              <w:drawing>
                <wp:inline distT="0" distB="0" distL="0" distR="0">
                  <wp:extent cx="3194050" cy="1206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94050" cy="1206500"/>
                          </a:xfrm>
                          <a:prstGeom prst="rect">
                            <a:avLst/>
                          </a:prstGeom>
                          <a:noFill/>
                          <a:ln>
                            <a:noFill/>
                          </a:ln>
                        </pic:spPr>
                      </pic:pic>
                    </a:graphicData>
                  </a:graphic>
                </wp:inline>
              </w:drawing>
            </w:r>
          </w:p>
          <w:p w:rsidR="00D65C34" w:rsidRPr="00D65C34" w:rsidRDefault="00D65C34" w:rsidP="00852131">
            <w:pPr>
              <w:pStyle w:val="ListParagraph"/>
              <w:numPr>
                <w:ilvl w:val="0"/>
                <w:numId w:val="4"/>
              </w:numPr>
              <w:jc w:val="center"/>
              <w:rPr>
                <w:color w:val="000000"/>
                <w:szCs w:val="22"/>
              </w:rPr>
            </w:pPr>
            <w:r>
              <w:rPr>
                <w:color w:val="000000"/>
                <w:szCs w:val="22"/>
              </w:rPr>
              <w:t xml:space="preserve">                                                     (b)</w:t>
            </w:r>
          </w:p>
        </w:tc>
      </w:tr>
      <w:tr w:rsidR="00B7569A" w:rsidTr="00852131">
        <w:tc>
          <w:tcPr>
            <w:tcW w:w="5018" w:type="dxa"/>
          </w:tcPr>
          <w:p w:rsidR="00B7569A" w:rsidRDefault="00B7569A" w:rsidP="00852131">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w:t>
            </w:r>
            <w:r w:rsidR="00321317">
              <w:rPr>
                <w:rFonts w:ascii="Times New Roman" w:eastAsia="Times New Roman" w:hAnsi="Times New Roman" w:cs="Miriam"/>
                <w:b/>
                <w:bCs/>
                <w:szCs w:val="18"/>
                <w:lang w:eastAsia="en-AU"/>
              </w:rPr>
              <w:t>2</w:t>
            </w:r>
            <w:r>
              <w:rPr>
                <w:rFonts w:ascii="Times New Roman" w:eastAsia="Times New Roman" w:hAnsi="Times New Roman" w:cs="Miriam"/>
                <w:b/>
                <w:bCs/>
                <w:szCs w:val="18"/>
                <w:lang w:eastAsia="en-AU"/>
              </w:rPr>
              <w:t>.</w:t>
            </w:r>
            <w:r w:rsidRPr="006F1A8E">
              <w:rPr>
                <w:rFonts w:ascii="Times New Roman" w:eastAsia="Times New Roman" w:hAnsi="Times New Roman" w:cs="Miriam"/>
                <w:b/>
                <w:bCs/>
                <w:szCs w:val="18"/>
                <w:lang w:eastAsia="en-AU"/>
              </w:rPr>
              <w:t xml:space="preserve"> </w:t>
            </w:r>
            <w:r w:rsidR="000C7E0E">
              <w:rPr>
                <w:rFonts w:ascii="Times New Roman" w:eastAsia="Times New Roman" w:hAnsi="Times New Roman" w:cs="Miriam"/>
                <w:b/>
                <w:bCs/>
                <w:szCs w:val="18"/>
                <w:lang w:eastAsia="en-AU"/>
              </w:rPr>
              <w:t xml:space="preserve">DCM and </w:t>
            </w:r>
            <w:r w:rsidR="00321317">
              <w:rPr>
                <w:rFonts w:ascii="Times New Roman" w:eastAsia="Times New Roman" w:hAnsi="Times New Roman" w:cs="Miriam"/>
                <w:b/>
                <w:bCs/>
                <w:szCs w:val="18"/>
                <w:lang w:eastAsia="en-AU"/>
              </w:rPr>
              <w:t>DSR</w:t>
            </w:r>
            <w:r w:rsidR="000C7E0E">
              <w:rPr>
                <w:rFonts w:ascii="Times New Roman" w:eastAsia="Times New Roman" w:hAnsi="Times New Roman" w:cs="Miriam"/>
                <w:b/>
                <w:bCs/>
                <w:szCs w:val="18"/>
                <w:lang w:eastAsia="en-AU"/>
              </w:rPr>
              <w:t xml:space="preserve"> STT-LUT variability comparisons: (a) delay distributions for successful reads (b) Delay histograms showing </w:t>
            </w:r>
            <w:r w:rsidR="00321317">
              <w:rPr>
                <w:rFonts w:ascii="Times New Roman" w:eastAsia="Times New Roman" w:hAnsi="Times New Roman" w:cs="Miriam"/>
                <w:b/>
                <w:bCs/>
                <w:szCs w:val="18"/>
                <w:lang w:eastAsia="en-AU"/>
              </w:rPr>
              <w:t xml:space="preserve">read sensing </w:t>
            </w:r>
            <w:r w:rsidR="000C7E0E">
              <w:rPr>
                <w:rFonts w:ascii="Times New Roman" w:eastAsia="Times New Roman" w:hAnsi="Times New Roman" w:cs="Miriam"/>
                <w:b/>
                <w:bCs/>
                <w:szCs w:val="18"/>
                <w:lang w:eastAsia="en-AU"/>
              </w:rPr>
              <w:t>failure rates</w:t>
            </w:r>
          </w:p>
        </w:tc>
      </w:tr>
    </w:tbl>
    <w:p w:rsidR="003F50C6" w:rsidRDefault="00B67C1C" w:rsidP="00852131">
      <w:pPr>
        <w:spacing w:after="0"/>
      </w:pPr>
      <w:r>
        <w:t xml:space="preserve">Increasing the capacitor of the DCM STT-LUT should reduce the </w:t>
      </w:r>
      <w:r w:rsidR="00321317">
        <w:t xml:space="preserve">read sensing </w:t>
      </w:r>
      <w:r>
        <w:t>failure rate</w:t>
      </w:r>
      <w:r w:rsidR="00321317">
        <w:t>s</w:t>
      </w:r>
      <w:r>
        <w:t>. Figure 1</w:t>
      </w:r>
      <w:r w:rsidR="00F47BCE">
        <w:t>3</w:t>
      </w:r>
      <w:r>
        <w:t xml:space="preserve"> shows the comparisons of the failure rates of the DCM and D</w:t>
      </w:r>
      <w:r w:rsidR="00321317">
        <w:t>SR</w:t>
      </w:r>
      <w:r>
        <w:t xml:space="preserve"> as the capacitor is varied. </w:t>
      </w:r>
      <w:r w:rsidR="00A57714">
        <w:t>These failure rates are measured under intra-die variations of the MTJ and transistor. Regardless of the sizing of the capacitor of the DCM, the proposed D</w:t>
      </w:r>
      <w:r w:rsidR="00F47BCE">
        <w:t>SR</w:t>
      </w:r>
      <w:r w:rsidR="00A57714">
        <w:t xml:space="preserve"> STT-LUT shows significantly lower failure rates for all fan-ins. </w:t>
      </w:r>
      <w:r w:rsidR="005A0233">
        <w:t>Depending</w:t>
      </w:r>
      <w:r w:rsidR="00A57714">
        <w:t xml:space="preserve"> o</w:t>
      </w:r>
      <w:r w:rsidR="00F47BCE">
        <w:t>n</w:t>
      </w:r>
      <w:r w:rsidR="00A57714">
        <w:t xml:space="preserve"> the fan-in and the capacitor </w:t>
      </w:r>
      <w:r w:rsidR="005A0233">
        <w:t>of</w:t>
      </w:r>
      <w:r w:rsidR="00A57714">
        <w:t xml:space="preserve"> the </w:t>
      </w:r>
      <w:r w:rsidR="005A0233">
        <w:t>DCM, the improvements vary from 26% to 58%.</w:t>
      </w:r>
    </w:p>
    <w:p w:rsidR="00852131" w:rsidRDefault="00852131" w:rsidP="00F47BCE">
      <w:pPr>
        <w:spacing w:after="120"/>
      </w:pPr>
      <w:r>
        <w:t>To gain a better understanding of the influence of various sources of variability on the STT-LUT read sensing failure rates, Figure 14 shows the DSR failure rates under intra and inter variations of MTJ and CMOS, individually and combined. First, it is observed that the inter-die variations (alone) do not cause any read sensing failures. That is because inter-die variations affect all transistors and MTJs in an LUT uniformly, and therefore, do not cause any mismatch among symmetric devices.</w:t>
      </w:r>
      <w:r w:rsidRPr="00852131">
        <w:t xml:space="preserve"> </w:t>
      </w:r>
      <w:r>
        <w:t>It is also observed that CMOS (intra-die) variations play a more significant role in determining the failure rate than MTJ variations.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B67C1C" w:rsidTr="007A75C1">
        <w:tc>
          <w:tcPr>
            <w:tcW w:w="5018" w:type="dxa"/>
          </w:tcPr>
          <w:p w:rsidR="00B67C1C" w:rsidRPr="00B67C1C" w:rsidRDefault="00C10DD8" w:rsidP="00B67C1C">
            <w:pPr>
              <w:jc w:val="center"/>
              <w:rPr>
                <w:color w:val="000000"/>
                <w:szCs w:val="22"/>
              </w:rPr>
            </w:pPr>
            <w:r>
              <w:rPr>
                <w:noProof/>
                <w:color w:val="000000"/>
                <w:szCs w:val="22"/>
              </w:rPr>
              <w:lastRenderedPageBreak/>
              <w:drawing>
                <wp:inline distT="0" distB="0" distL="0" distR="0" wp14:anchorId="59609079" wp14:editId="68934580">
                  <wp:extent cx="3041650" cy="1485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1650" cy="1485900"/>
                          </a:xfrm>
                          <a:prstGeom prst="rect">
                            <a:avLst/>
                          </a:prstGeom>
                          <a:noFill/>
                          <a:ln>
                            <a:noFill/>
                          </a:ln>
                        </pic:spPr>
                      </pic:pic>
                    </a:graphicData>
                  </a:graphic>
                </wp:inline>
              </w:drawing>
            </w:r>
          </w:p>
        </w:tc>
      </w:tr>
      <w:tr w:rsidR="00B67C1C" w:rsidTr="00852131">
        <w:tc>
          <w:tcPr>
            <w:tcW w:w="5018" w:type="dxa"/>
          </w:tcPr>
          <w:p w:rsidR="00B67C1C" w:rsidRDefault="00B67C1C" w:rsidP="00233329">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w:t>
            </w:r>
            <w:r w:rsidR="00321317">
              <w:rPr>
                <w:rFonts w:ascii="Times New Roman" w:eastAsia="Times New Roman" w:hAnsi="Times New Roman" w:cs="Miriam"/>
                <w:b/>
                <w:bCs/>
                <w:szCs w:val="18"/>
                <w:lang w:eastAsia="en-AU"/>
              </w:rPr>
              <w:t>3</w:t>
            </w:r>
            <w:r>
              <w:rPr>
                <w:rFonts w:ascii="Times New Roman" w:eastAsia="Times New Roman" w:hAnsi="Times New Roman" w:cs="Miriam"/>
                <w:b/>
                <w:bCs/>
                <w:szCs w:val="18"/>
                <w:lang w:eastAsia="en-AU"/>
              </w:rPr>
              <w:t>.</w:t>
            </w:r>
            <w:r w:rsidRPr="006F1A8E">
              <w:rPr>
                <w:rFonts w:ascii="Times New Roman" w:eastAsia="Times New Roman" w:hAnsi="Times New Roman" w:cs="Miriam"/>
                <w:b/>
                <w:bCs/>
                <w:szCs w:val="18"/>
                <w:lang w:eastAsia="en-AU"/>
              </w:rPr>
              <w:t xml:space="preserve"> </w:t>
            </w:r>
            <w:r w:rsidR="00F47BCE">
              <w:rPr>
                <w:rFonts w:ascii="Times New Roman" w:eastAsia="Times New Roman" w:hAnsi="Times New Roman" w:cs="Miriam"/>
                <w:b/>
                <w:bCs/>
                <w:szCs w:val="18"/>
                <w:lang w:eastAsia="en-AU"/>
              </w:rPr>
              <w:t>Read sensing f</w:t>
            </w:r>
            <w:r>
              <w:rPr>
                <w:rFonts w:ascii="Times New Roman" w:eastAsia="Times New Roman" w:hAnsi="Times New Roman" w:cs="Miriam"/>
                <w:b/>
                <w:bCs/>
                <w:szCs w:val="18"/>
                <w:lang w:eastAsia="en-AU"/>
              </w:rPr>
              <w:t xml:space="preserve">ailure rate comparisons of DCM and </w:t>
            </w:r>
            <w:r w:rsidR="00233329">
              <w:rPr>
                <w:rFonts w:ascii="Times New Roman" w:eastAsia="Times New Roman" w:hAnsi="Times New Roman" w:cs="Miriam"/>
                <w:b/>
                <w:bCs/>
                <w:szCs w:val="18"/>
                <w:lang w:eastAsia="en-AU"/>
              </w:rPr>
              <w:t>DSR</w:t>
            </w:r>
            <w:r>
              <w:rPr>
                <w:rFonts w:ascii="Times New Roman" w:eastAsia="Times New Roman" w:hAnsi="Times New Roman" w:cs="Miriam"/>
                <w:b/>
                <w:bCs/>
                <w:szCs w:val="18"/>
                <w:lang w:eastAsia="en-AU"/>
              </w:rPr>
              <w:t xml:space="preserve"> STT-LUT</w:t>
            </w:r>
          </w:p>
        </w:tc>
      </w:tr>
      <w:tr w:rsidR="00852131" w:rsidTr="008521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18" w:type="dxa"/>
            <w:tcBorders>
              <w:top w:val="nil"/>
              <w:left w:val="nil"/>
              <w:bottom w:val="nil"/>
              <w:right w:val="nil"/>
            </w:tcBorders>
          </w:tcPr>
          <w:p w:rsidR="00852131" w:rsidRPr="00B67C1C" w:rsidRDefault="00852131" w:rsidP="00AF21FC">
            <w:pPr>
              <w:jc w:val="center"/>
              <w:rPr>
                <w:color w:val="000000"/>
                <w:szCs w:val="22"/>
              </w:rPr>
            </w:pPr>
            <w:r>
              <w:rPr>
                <w:noProof/>
                <w:color w:val="000000"/>
                <w:szCs w:val="22"/>
              </w:rPr>
              <w:drawing>
                <wp:inline distT="0" distB="0" distL="0" distR="0" wp14:anchorId="74DE2DA4" wp14:editId="0A89ED3C">
                  <wp:extent cx="3025645" cy="205424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30331" cy="2057427"/>
                          </a:xfrm>
                          <a:prstGeom prst="rect">
                            <a:avLst/>
                          </a:prstGeom>
                          <a:noFill/>
                        </pic:spPr>
                      </pic:pic>
                    </a:graphicData>
                  </a:graphic>
                </wp:inline>
              </w:drawing>
            </w:r>
          </w:p>
        </w:tc>
      </w:tr>
      <w:tr w:rsidR="00852131" w:rsidTr="008521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18" w:type="dxa"/>
            <w:tcBorders>
              <w:top w:val="nil"/>
              <w:left w:val="nil"/>
              <w:bottom w:val="nil"/>
              <w:right w:val="nil"/>
            </w:tcBorders>
          </w:tcPr>
          <w:p w:rsidR="00852131" w:rsidRDefault="00852131" w:rsidP="00AF21FC">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14.</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DSR read sensing failure rates under intra- and inter-die variations of MTJ and CMOS</w:t>
            </w:r>
          </w:p>
        </w:tc>
      </w:tr>
      <w:tr w:rsidR="00852131" w:rsidTr="008521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18" w:type="dxa"/>
            <w:tcBorders>
              <w:top w:val="nil"/>
              <w:left w:val="nil"/>
              <w:bottom w:val="nil"/>
              <w:right w:val="nil"/>
            </w:tcBorders>
          </w:tcPr>
          <w:p w:rsidR="00852131" w:rsidRPr="00B67C1C" w:rsidRDefault="00852131" w:rsidP="00177B83">
            <w:pPr>
              <w:jc w:val="center"/>
              <w:rPr>
                <w:color w:val="000000"/>
                <w:szCs w:val="22"/>
              </w:rPr>
            </w:pPr>
            <w:r>
              <w:rPr>
                <w:noProof/>
                <w:color w:val="000000"/>
                <w:szCs w:val="22"/>
              </w:rPr>
              <w:lastRenderedPageBreak/>
              <w:drawing>
                <wp:inline distT="0" distB="0" distL="0" distR="0" wp14:anchorId="685EC5A0" wp14:editId="16D0791F">
                  <wp:extent cx="291465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4650" cy="2623185"/>
                          </a:xfrm>
                          <a:prstGeom prst="rect">
                            <a:avLst/>
                          </a:prstGeom>
                          <a:noFill/>
                          <a:ln>
                            <a:noFill/>
                          </a:ln>
                        </pic:spPr>
                      </pic:pic>
                    </a:graphicData>
                  </a:graphic>
                </wp:inline>
              </w:drawing>
            </w:r>
          </w:p>
        </w:tc>
      </w:tr>
      <w:tr w:rsidR="00852131" w:rsidTr="008521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18" w:type="dxa"/>
            <w:tcBorders>
              <w:top w:val="nil"/>
              <w:left w:val="nil"/>
              <w:bottom w:val="nil"/>
              <w:right w:val="nil"/>
            </w:tcBorders>
          </w:tcPr>
          <w:p w:rsidR="00852131" w:rsidRDefault="00852131" w:rsidP="00177B83">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15.</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Impact of inter-die Vt shift on intra-die induced read sensing failure rates</w:t>
            </w:r>
          </w:p>
        </w:tc>
      </w:tr>
    </w:tbl>
    <w:p w:rsidR="00B67C1C" w:rsidRDefault="00B67C1C" w:rsidP="00852131">
      <w:pPr>
        <w:spacing w:after="0"/>
      </w:pPr>
    </w:p>
    <w:tbl>
      <w:tblPr>
        <w:tblStyle w:val="TableGrid"/>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852131" w:rsidTr="00852131">
        <w:tc>
          <w:tcPr>
            <w:tcW w:w="5018" w:type="dxa"/>
          </w:tcPr>
          <w:p w:rsidR="00852131" w:rsidRDefault="00852131" w:rsidP="00852131">
            <w:pPr>
              <w:spacing w:after="120"/>
              <w:jc w:val="center"/>
            </w:pPr>
            <w:r>
              <w:rPr>
                <w:noProof/>
              </w:rPr>
              <w:drawing>
                <wp:inline distT="0" distB="0" distL="0" distR="0" wp14:anchorId="56C3669D" wp14:editId="21447266">
                  <wp:extent cx="3130550" cy="1828800"/>
                  <wp:effectExtent l="0" t="0" r="0" b="0"/>
                  <wp:docPr id="77825" name="Picture 77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550" cy="1828800"/>
                          </a:xfrm>
                          <a:prstGeom prst="rect">
                            <a:avLst/>
                          </a:prstGeom>
                          <a:noFill/>
                          <a:ln>
                            <a:noFill/>
                          </a:ln>
                        </pic:spPr>
                      </pic:pic>
                    </a:graphicData>
                  </a:graphic>
                </wp:inline>
              </w:drawing>
            </w:r>
          </w:p>
        </w:tc>
      </w:tr>
      <w:tr w:rsidR="00852131" w:rsidTr="00852131">
        <w:tc>
          <w:tcPr>
            <w:tcW w:w="5018" w:type="dxa"/>
          </w:tcPr>
          <w:p w:rsidR="00852131" w:rsidRDefault="00852131" w:rsidP="00852131">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16.</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Proposed Dynamic Dual Rail (DDR) STT-LUT</w:t>
            </w:r>
          </w:p>
        </w:tc>
      </w:tr>
    </w:tbl>
    <w:p w:rsidR="00940604" w:rsidRDefault="006406B0" w:rsidP="00010822">
      <w:pPr>
        <w:spacing w:after="120"/>
      </w:pPr>
      <w:r>
        <w:t xml:space="preserve">Although the inter-die variations do not directly cause read </w:t>
      </w:r>
      <w:r w:rsidR="00010822">
        <w:t xml:space="preserve">sensing </w:t>
      </w:r>
      <w:r>
        <w:t xml:space="preserve">failures, the inter-die variation modify the impact of intra-die </w:t>
      </w:r>
      <w:r w:rsidR="0002700F">
        <w:t>variations</w:t>
      </w:r>
      <w:r>
        <w:t xml:space="preserve">. </w:t>
      </w:r>
      <w:r w:rsidR="0002700F">
        <w:t>Figure 1</w:t>
      </w:r>
      <w:r w:rsidR="00010822">
        <w:t>5</w:t>
      </w:r>
      <w:r w:rsidR="0002700F">
        <w:t xml:space="preserve"> shows the intra-die induced failure rates as the inter-dive Vt shift is varied from -0.15 V to +0.15 V for  differed LUT fan-ins of the D</w:t>
      </w:r>
      <w:r w:rsidR="00010822">
        <w:t>SR</w:t>
      </w:r>
      <w:r w:rsidR="0002700F">
        <w:t xml:space="preserve"> style. It is observed that inter-die </w:t>
      </w:r>
      <w:proofErr w:type="gramStart"/>
      <w:r w:rsidR="0002700F">
        <w:t>Vt</w:t>
      </w:r>
      <w:proofErr w:type="gramEnd"/>
      <w:r w:rsidR="0002700F">
        <w:t xml:space="preserve"> </w:t>
      </w:r>
      <w:r w:rsidR="00611B4C">
        <w:t>shift</w:t>
      </w:r>
      <w:r w:rsidR="0002700F">
        <w:t xml:space="preserve"> towards high </w:t>
      </w:r>
      <w:proofErr w:type="spellStart"/>
      <w:r w:rsidR="0002700F">
        <w:t>Vt</w:t>
      </w:r>
      <w:proofErr w:type="spellEnd"/>
      <w:r w:rsidR="0002700F">
        <w:t xml:space="preserve"> increase</w:t>
      </w:r>
      <w:r w:rsidR="00611B4C">
        <w:t>s</w:t>
      </w:r>
      <w:r w:rsidR="0002700F">
        <w:t xml:space="preserve"> the </w:t>
      </w:r>
      <w:r w:rsidR="00010822">
        <w:t xml:space="preserve">read sensing </w:t>
      </w:r>
      <w:r w:rsidR="0002700F">
        <w:t xml:space="preserve">failure rates, but the </w:t>
      </w:r>
      <w:r w:rsidR="00611B4C">
        <w:t>shift</w:t>
      </w:r>
      <w:r w:rsidR="0002700F">
        <w:t xml:space="preserve"> toward low Vt does not have much influence.</w:t>
      </w:r>
      <w:r w:rsidR="00010822">
        <w:t xml:space="preserve"> That is because at higher inter-die </w:t>
      </w:r>
      <w:proofErr w:type="spellStart"/>
      <w:r w:rsidR="00010822">
        <w:t>Vt</w:t>
      </w:r>
      <w:proofErr w:type="spellEnd"/>
      <w:r w:rsidR="00010822">
        <w:t xml:space="preserve"> corners, the effective read current is reduced, making less sensing margin for the sense amplifier.</w:t>
      </w:r>
    </w:p>
    <w:p w:rsidR="006C5E10" w:rsidRDefault="00254FD8" w:rsidP="006B7B21">
      <w:pPr>
        <w:pStyle w:val="Heading1"/>
        <w:spacing w:before="120"/>
      </w:pPr>
      <w:r>
        <w:t>SECOND PROPOSED STT-LUT DESIGN</w:t>
      </w:r>
    </w:p>
    <w:p w:rsidR="00DC512C" w:rsidRDefault="0037367E" w:rsidP="00390F58">
      <w:pPr>
        <w:spacing w:after="0"/>
      </w:pPr>
      <w:r>
        <w:t>T</w:t>
      </w:r>
      <w:r w:rsidR="006C5E10">
        <w:t xml:space="preserve">he proposed </w:t>
      </w:r>
      <w:r w:rsidR="000F1C97">
        <w:t>DSR</w:t>
      </w:r>
      <w:r w:rsidR="006C5E10">
        <w:t xml:space="preserve"> </w:t>
      </w:r>
      <w:r w:rsidR="00054AF5">
        <w:t xml:space="preserve">style </w:t>
      </w:r>
      <w:r w:rsidR="006C5E10">
        <w:t>reduces the failure rates significantly compared to the conventional</w:t>
      </w:r>
      <w:r>
        <w:t xml:space="preserve"> DCM STT-LUT style; however, </w:t>
      </w:r>
      <w:r w:rsidR="006C5E10">
        <w:t>the failure rates are still fairly high. We propose another new STT-LUT design style that further enhances the robustness by utilizing dual differential MTJ</w:t>
      </w:r>
      <w:r w:rsidR="00556002">
        <w:t>s</w:t>
      </w:r>
      <w:r w:rsidR="006C5E10">
        <w:t xml:space="preserve"> per bit</w:t>
      </w:r>
      <w:r w:rsidR="00054AF5">
        <w:t xml:space="preserve"> and eliminating the reference resistor</w:t>
      </w:r>
      <w:r w:rsidR="006C5E10">
        <w:t xml:space="preserve">. The schematic of the proposed Dynamic Dual Rail (DDR) style for </w:t>
      </w:r>
      <w:r w:rsidR="00556002">
        <w:t xml:space="preserve">a </w:t>
      </w:r>
      <w:r w:rsidR="006C5E10">
        <w:t>2-input STT-LUT is shown in Fig. 1</w:t>
      </w:r>
      <w:r>
        <w:t>6</w:t>
      </w:r>
      <w:r w:rsidR="006C5E10">
        <w:t>.</w:t>
      </w:r>
      <w:r w:rsidR="00390F58">
        <w:t xml:space="preserve"> </w:t>
      </w:r>
      <w:r w:rsidR="00DC512C">
        <w:t>By utilizing two differentially programed MTJs per bit, the sensing margin for the sense amplifier is enhance</w:t>
      </w:r>
      <w:r w:rsidR="000F1C97">
        <w:t>d</w:t>
      </w:r>
      <w:r w:rsidR="00DC512C">
        <w:t xml:space="preserve"> resulting in </w:t>
      </w:r>
      <w:r w:rsidR="000F1C97">
        <w:t>shorter</w:t>
      </w:r>
      <w:r w:rsidR="00DC512C">
        <w:t xml:space="preserve"> delay and lower failure rates. Fig. </w:t>
      </w:r>
      <w:r>
        <w:t>17</w:t>
      </w:r>
      <w:r w:rsidR="00DC512C">
        <w:t xml:space="preserve"> shows the comparisons of the proposed </w:t>
      </w:r>
      <w:r w:rsidR="000F1C97">
        <w:t>DSR</w:t>
      </w:r>
      <w:r w:rsidR="00DC512C">
        <w:t xml:space="preserve"> and DDR STT-LUTs. </w:t>
      </w:r>
      <w:r w:rsidR="00390F58">
        <w:t>The DDR scheme shows lower delay, active power, and PDP, similar active leakage, and significantly lower read sensing failure rates. These benefits are the cost of increase in area. Compared to the conventional DCM STT-LUT and depending on the fan-in, the proposed DDR STT-LUT reduces the read delay by 39% to 44%, the active power by 0% to 20%, and the read sensing failure by 9X to 441X.</w:t>
      </w:r>
    </w:p>
    <w:tbl>
      <w:tblPr>
        <w:tblStyle w:val="TableGrid"/>
        <w:tblpPr w:leftFromText="180" w:rightFromText="180" w:vertAnchor="page" w:horzAnchor="margin" w:tblpY="7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9"/>
        <w:gridCol w:w="2439"/>
      </w:tblGrid>
      <w:tr w:rsidR="00682A90" w:rsidTr="00852131">
        <w:trPr>
          <w:trHeight w:val="2114"/>
        </w:trPr>
        <w:tc>
          <w:tcPr>
            <w:tcW w:w="2579" w:type="dxa"/>
          </w:tcPr>
          <w:p w:rsidR="00DC512C" w:rsidRDefault="00682A90" w:rsidP="00852131">
            <w:pPr>
              <w:spacing w:after="120"/>
              <w:jc w:val="center"/>
            </w:pPr>
            <w:r>
              <w:rPr>
                <w:noProof/>
              </w:rPr>
              <w:lastRenderedPageBreak/>
              <w:drawing>
                <wp:inline distT="0" distB="0" distL="0" distR="0" wp14:anchorId="59E572F8" wp14:editId="52786B9C">
                  <wp:extent cx="1524754" cy="1238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dsr_ddr.tif"/>
                          <pic:cNvPicPr/>
                        </pic:nvPicPr>
                        <pic:blipFill rotWithShape="1">
                          <a:blip r:embed="rId30" cstate="print">
                            <a:extLst>
                              <a:ext uri="{28A0092B-C50C-407E-A947-70E740481C1C}">
                                <a14:useLocalDpi xmlns:a14="http://schemas.microsoft.com/office/drawing/2010/main" val="0"/>
                              </a:ext>
                            </a:extLst>
                          </a:blip>
                          <a:srcRect t="4717" r="8714"/>
                          <a:stretch/>
                        </pic:blipFill>
                        <pic:spPr bwMode="auto">
                          <a:xfrm>
                            <a:off x="0" y="0"/>
                            <a:ext cx="1541117" cy="1251538"/>
                          </a:xfrm>
                          <a:prstGeom prst="rect">
                            <a:avLst/>
                          </a:prstGeom>
                          <a:ln>
                            <a:noFill/>
                          </a:ln>
                          <a:extLst>
                            <a:ext uri="{53640926-AAD7-44D8-BBD7-CCE9431645EC}">
                              <a14:shadowObscured xmlns:a14="http://schemas.microsoft.com/office/drawing/2010/main"/>
                            </a:ext>
                          </a:extLst>
                        </pic:spPr>
                      </pic:pic>
                    </a:graphicData>
                  </a:graphic>
                </wp:inline>
              </w:drawing>
            </w:r>
            <w:r w:rsidR="00044252">
              <w:t>(a)</w:t>
            </w:r>
          </w:p>
        </w:tc>
        <w:tc>
          <w:tcPr>
            <w:tcW w:w="2439" w:type="dxa"/>
          </w:tcPr>
          <w:p w:rsidR="00DC512C" w:rsidRDefault="00682A90" w:rsidP="00852131">
            <w:pPr>
              <w:spacing w:after="120"/>
              <w:jc w:val="center"/>
            </w:pPr>
            <w:r>
              <w:rPr>
                <w:noProof/>
              </w:rPr>
              <w:drawing>
                <wp:inline distT="0" distB="0" distL="0" distR="0" wp14:anchorId="70C51F81" wp14:editId="55567DEA">
                  <wp:extent cx="1581513" cy="123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_dsr_ddr.tif"/>
                          <pic:cNvPicPr/>
                        </pic:nvPicPr>
                        <pic:blipFill rotWithShape="1">
                          <a:blip r:embed="rId31" cstate="print">
                            <a:extLst>
                              <a:ext uri="{28A0092B-C50C-407E-A947-70E740481C1C}">
                                <a14:useLocalDpi xmlns:a14="http://schemas.microsoft.com/office/drawing/2010/main" val="0"/>
                              </a:ext>
                            </a:extLst>
                          </a:blip>
                          <a:srcRect t="4150" r="8171"/>
                          <a:stretch/>
                        </pic:blipFill>
                        <pic:spPr bwMode="auto">
                          <a:xfrm>
                            <a:off x="0" y="0"/>
                            <a:ext cx="1588308" cy="1243570"/>
                          </a:xfrm>
                          <a:prstGeom prst="rect">
                            <a:avLst/>
                          </a:prstGeom>
                          <a:ln>
                            <a:noFill/>
                          </a:ln>
                          <a:extLst>
                            <a:ext uri="{53640926-AAD7-44D8-BBD7-CCE9431645EC}">
                              <a14:shadowObscured xmlns:a14="http://schemas.microsoft.com/office/drawing/2010/main"/>
                            </a:ext>
                          </a:extLst>
                        </pic:spPr>
                      </pic:pic>
                    </a:graphicData>
                  </a:graphic>
                </wp:inline>
              </w:drawing>
            </w:r>
            <w:r w:rsidR="00044252">
              <w:t>(b)</w:t>
            </w:r>
          </w:p>
        </w:tc>
      </w:tr>
      <w:tr w:rsidR="00682A90" w:rsidTr="00852131">
        <w:tc>
          <w:tcPr>
            <w:tcW w:w="2579" w:type="dxa"/>
          </w:tcPr>
          <w:p w:rsidR="00DC512C" w:rsidRDefault="00682A90" w:rsidP="00852131">
            <w:pPr>
              <w:spacing w:after="120"/>
              <w:jc w:val="center"/>
            </w:pPr>
            <w:r>
              <w:rPr>
                <w:noProof/>
              </w:rPr>
              <w:drawing>
                <wp:inline distT="0" distB="0" distL="0" distR="0" wp14:anchorId="722962FB" wp14:editId="38C72361">
                  <wp:extent cx="1602022" cy="1244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p_dsr_ddr.tif"/>
                          <pic:cNvPicPr/>
                        </pic:nvPicPr>
                        <pic:blipFill rotWithShape="1">
                          <a:blip r:embed="rId32" cstate="print">
                            <a:extLst>
                              <a:ext uri="{28A0092B-C50C-407E-A947-70E740481C1C}">
                                <a14:useLocalDpi xmlns:a14="http://schemas.microsoft.com/office/drawing/2010/main" val="0"/>
                              </a:ext>
                            </a:extLst>
                          </a:blip>
                          <a:srcRect t="3941" r="7252"/>
                          <a:stretch/>
                        </pic:blipFill>
                        <pic:spPr bwMode="auto">
                          <a:xfrm>
                            <a:off x="0" y="0"/>
                            <a:ext cx="1605595" cy="1247376"/>
                          </a:xfrm>
                          <a:prstGeom prst="rect">
                            <a:avLst/>
                          </a:prstGeom>
                          <a:ln>
                            <a:noFill/>
                          </a:ln>
                          <a:extLst>
                            <a:ext uri="{53640926-AAD7-44D8-BBD7-CCE9431645EC}">
                              <a14:shadowObscured xmlns:a14="http://schemas.microsoft.com/office/drawing/2010/main"/>
                            </a:ext>
                          </a:extLst>
                        </pic:spPr>
                      </pic:pic>
                    </a:graphicData>
                  </a:graphic>
                </wp:inline>
              </w:drawing>
            </w:r>
            <w:r w:rsidR="00044252">
              <w:t>(c)</w:t>
            </w:r>
          </w:p>
        </w:tc>
        <w:tc>
          <w:tcPr>
            <w:tcW w:w="2439" w:type="dxa"/>
          </w:tcPr>
          <w:p w:rsidR="00DC512C" w:rsidRDefault="00682A90" w:rsidP="00852131">
            <w:pPr>
              <w:spacing w:after="120"/>
              <w:jc w:val="center"/>
            </w:pPr>
            <w:r>
              <w:rPr>
                <w:noProof/>
              </w:rPr>
              <w:drawing>
                <wp:inline distT="0" distB="0" distL="0" distR="0" wp14:anchorId="4AA5252B" wp14:editId="3C8FAFCC">
                  <wp:extent cx="1600200" cy="1243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_leakage_dsr_ddr.tif"/>
                          <pic:cNvPicPr/>
                        </pic:nvPicPr>
                        <pic:blipFill rotWithShape="1">
                          <a:blip r:embed="rId33" cstate="print">
                            <a:extLst>
                              <a:ext uri="{28A0092B-C50C-407E-A947-70E740481C1C}">
                                <a14:useLocalDpi xmlns:a14="http://schemas.microsoft.com/office/drawing/2010/main" val="0"/>
                              </a:ext>
                            </a:extLst>
                          </a:blip>
                          <a:srcRect t="4425" r="7730"/>
                          <a:stretch/>
                        </pic:blipFill>
                        <pic:spPr bwMode="auto">
                          <a:xfrm>
                            <a:off x="0" y="0"/>
                            <a:ext cx="1600200" cy="1243320"/>
                          </a:xfrm>
                          <a:prstGeom prst="rect">
                            <a:avLst/>
                          </a:prstGeom>
                          <a:ln>
                            <a:noFill/>
                          </a:ln>
                          <a:extLst>
                            <a:ext uri="{53640926-AAD7-44D8-BBD7-CCE9431645EC}">
                              <a14:shadowObscured xmlns:a14="http://schemas.microsoft.com/office/drawing/2010/main"/>
                            </a:ext>
                          </a:extLst>
                        </pic:spPr>
                      </pic:pic>
                    </a:graphicData>
                  </a:graphic>
                </wp:inline>
              </w:drawing>
            </w:r>
            <w:r w:rsidR="00954543">
              <w:t>(d)</w:t>
            </w:r>
          </w:p>
        </w:tc>
      </w:tr>
      <w:tr w:rsidR="00682A90" w:rsidTr="00852131">
        <w:tc>
          <w:tcPr>
            <w:tcW w:w="2579" w:type="dxa"/>
          </w:tcPr>
          <w:p w:rsidR="006B7B21" w:rsidRPr="00044252" w:rsidRDefault="00682A90" w:rsidP="00852131">
            <w:pPr>
              <w:spacing w:after="120"/>
              <w:jc w:val="center"/>
            </w:pPr>
            <w:r>
              <w:rPr>
                <w:noProof/>
              </w:rPr>
              <w:drawing>
                <wp:inline distT="0" distB="0" distL="0" distR="0" wp14:anchorId="6F580264" wp14:editId="1E60BC01">
                  <wp:extent cx="1701563" cy="1276350"/>
                  <wp:effectExtent l="0" t="0" r="0" b="0"/>
                  <wp:docPr id="77824" name="Picture 7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_dsr_ddr.ti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02747" cy="1277238"/>
                          </a:xfrm>
                          <a:prstGeom prst="rect">
                            <a:avLst/>
                          </a:prstGeom>
                        </pic:spPr>
                      </pic:pic>
                    </a:graphicData>
                  </a:graphic>
                </wp:inline>
              </w:drawing>
            </w:r>
            <w:r w:rsidR="006B7B21">
              <w:t>(e)</w:t>
            </w:r>
          </w:p>
        </w:tc>
        <w:tc>
          <w:tcPr>
            <w:tcW w:w="2439" w:type="dxa"/>
          </w:tcPr>
          <w:p w:rsidR="006B7B21" w:rsidRDefault="00B63CFB" w:rsidP="00852131">
            <w:pPr>
              <w:spacing w:after="120"/>
              <w:jc w:val="center"/>
              <w:rPr>
                <w:noProof/>
              </w:rPr>
            </w:pPr>
            <w:r>
              <w:rPr>
                <w:noProof/>
              </w:rPr>
              <w:drawing>
                <wp:inline distT="0" distB="0" distL="0" distR="0" wp14:anchorId="001927A4" wp14:editId="601277AC">
                  <wp:extent cx="1543050" cy="12390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_rate_dsr_ddr.tif"/>
                          <pic:cNvPicPr/>
                        </pic:nvPicPr>
                        <pic:blipFill rotWithShape="1">
                          <a:blip r:embed="rId35" cstate="print">
                            <a:extLst>
                              <a:ext uri="{28A0092B-C50C-407E-A947-70E740481C1C}">
                                <a14:useLocalDpi xmlns:a14="http://schemas.microsoft.com/office/drawing/2010/main" val="0"/>
                              </a:ext>
                            </a:extLst>
                          </a:blip>
                          <a:srcRect t="3691" r="10035"/>
                          <a:stretch/>
                        </pic:blipFill>
                        <pic:spPr bwMode="auto">
                          <a:xfrm>
                            <a:off x="0" y="0"/>
                            <a:ext cx="1550824" cy="1245310"/>
                          </a:xfrm>
                          <a:prstGeom prst="rect">
                            <a:avLst/>
                          </a:prstGeom>
                          <a:ln>
                            <a:noFill/>
                          </a:ln>
                          <a:extLst>
                            <a:ext uri="{53640926-AAD7-44D8-BBD7-CCE9431645EC}">
                              <a14:shadowObscured xmlns:a14="http://schemas.microsoft.com/office/drawing/2010/main"/>
                            </a:ext>
                          </a:extLst>
                        </pic:spPr>
                      </pic:pic>
                    </a:graphicData>
                  </a:graphic>
                </wp:inline>
              </w:drawing>
            </w:r>
            <w:r w:rsidR="006B7B21">
              <w:rPr>
                <w:noProof/>
              </w:rPr>
              <w:t>(f)</w:t>
            </w:r>
          </w:p>
        </w:tc>
      </w:tr>
      <w:tr w:rsidR="00DC512C" w:rsidTr="00852131">
        <w:tc>
          <w:tcPr>
            <w:tcW w:w="5018" w:type="dxa"/>
            <w:gridSpan w:val="2"/>
          </w:tcPr>
          <w:p w:rsidR="00DC512C" w:rsidRDefault="00DC512C" w:rsidP="00852131">
            <w:pPr>
              <w:jc w:val="center"/>
              <w:rPr>
                <w:color w:val="000000"/>
                <w:sz w:val="20"/>
              </w:rPr>
            </w:pPr>
            <w:r w:rsidRPr="006F1A8E">
              <w:rPr>
                <w:rFonts w:ascii="Times New Roman" w:eastAsia="Times New Roman" w:hAnsi="Times New Roman" w:cs="Miriam"/>
                <w:b/>
                <w:bCs/>
                <w:szCs w:val="18"/>
                <w:lang w:eastAsia="en-AU"/>
              </w:rPr>
              <w:t>Fig</w:t>
            </w:r>
            <w:r>
              <w:rPr>
                <w:rFonts w:ascii="Times New Roman" w:eastAsia="Times New Roman" w:hAnsi="Times New Roman" w:cs="Miriam"/>
                <w:b/>
                <w:bCs/>
                <w:szCs w:val="18"/>
                <w:lang w:eastAsia="en-AU"/>
              </w:rPr>
              <w:t>ure</w:t>
            </w:r>
            <w:r w:rsidRPr="006F1A8E">
              <w:rPr>
                <w:rFonts w:ascii="Times New Roman" w:eastAsia="Times New Roman" w:hAnsi="Times New Roman" w:cs="Miriam"/>
                <w:b/>
                <w:bCs/>
                <w:szCs w:val="18"/>
                <w:lang w:eastAsia="en-AU"/>
              </w:rPr>
              <w:t xml:space="preserve"> </w:t>
            </w:r>
            <w:r w:rsidR="0037367E">
              <w:rPr>
                <w:rFonts w:ascii="Times New Roman" w:eastAsia="Times New Roman" w:hAnsi="Times New Roman" w:cs="Miriam"/>
                <w:b/>
                <w:bCs/>
                <w:szCs w:val="18"/>
                <w:lang w:eastAsia="en-AU"/>
              </w:rPr>
              <w:t>17</w:t>
            </w:r>
            <w:r>
              <w:rPr>
                <w:rFonts w:ascii="Times New Roman" w:eastAsia="Times New Roman" w:hAnsi="Times New Roman" w:cs="Miriam"/>
                <w:b/>
                <w:bCs/>
                <w:szCs w:val="18"/>
                <w:lang w:eastAsia="en-AU"/>
              </w:rPr>
              <w:t>.</w:t>
            </w:r>
            <w:r w:rsidRPr="006F1A8E">
              <w:rPr>
                <w:rFonts w:ascii="Times New Roman" w:eastAsia="Times New Roman" w:hAnsi="Times New Roman" w:cs="Miriam"/>
                <w:b/>
                <w:bCs/>
                <w:szCs w:val="18"/>
                <w:lang w:eastAsia="en-AU"/>
              </w:rPr>
              <w:t xml:space="preserve"> </w:t>
            </w:r>
            <w:r>
              <w:rPr>
                <w:rFonts w:ascii="Times New Roman" w:eastAsia="Times New Roman" w:hAnsi="Times New Roman" w:cs="Miriam"/>
                <w:b/>
                <w:bCs/>
                <w:szCs w:val="18"/>
                <w:lang w:eastAsia="en-AU"/>
              </w:rPr>
              <w:t>Comparison</w:t>
            </w:r>
            <w:r w:rsidR="006B7B21">
              <w:rPr>
                <w:rFonts w:ascii="Times New Roman" w:eastAsia="Times New Roman" w:hAnsi="Times New Roman" w:cs="Miriam"/>
                <w:b/>
                <w:bCs/>
                <w:szCs w:val="18"/>
                <w:lang w:eastAsia="en-AU"/>
              </w:rPr>
              <w:t>s</w:t>
            </w:r>
            <w:r>
              <w:rPr>
                <w:rFonts w:ascii="Times New Roman" w:eastAsia="Times New Roman" w:hAnsi="Times New Roman" w:cs="Miriam"/>
                <w:b/>
                <w:bCs/>
                <w:szCs w:val="18"/>
                <w:lang w:eastAsia="en-AU"/>
              </w:rPr>
              <w:t xml:space="preserve"> of proposed </w:t>
            </w:r>
            <w:r w:rsidR="00911723">
              <w:rPr>
                <w:rFonts w:ascii="Times New Roman" w:eastAsia="Times New Roman" w:hAnsi="Times New Roman" w:cs="Miriam"/>
                <w:b/>
                <w:bCs/>
                <w:szCs w:val="18"/>
                <w:lang w:eastAsia="en-AU"/>
              </w:rPr>
              <w:t>DSR</w:t>
            </w:r>
            <w:r>
              <w:rPr>
                <w:rFonts w:ascii="Times New Roman" w:eastAsia="Times New Roman" w:hAnsi="Times New Roman" w:cs="Miriam"/>
                <w:b/>
                <w:bCs/>
                <w:szCs w:val="18"/>
                <w:lang w:eastAsia="en-AU"/>
              </w:rPr>
              <w:t xml:space="preserve"> and DDR STT-LUT</w:t>
            </w:r>
            <w:r w:rsidR="000F1C97">
              <w:rPr>
                <w:rFonts w:ascii="Times New Roman" w:eastAsia="Times New Roman" w:hAnsi="Times New Roman" w:cs="Miriam"/>
                <w:b/>
                <w:bCs/>
                <w:szCs w:val="18"/>
                <w:lang w:eastAsia="en-AU"/>
              </w:rPr>
              <w:t>s</w:t>
            </w:r>
          </w:p>
        </w:tc>
      </w:tr>
    </w:tbl>
    <w:p w:rsidR="008B197E" w:rsidRDefault="0078289B">
      <w:pPr>
        <w:pStyle w:val="Heading1"/>
        <w:spacing w:before="120"/>
      </w:pPr>
      <w:r>
        <w:lastRenderedPageBreak/>
        <w:t>CONCLUSION</w:t>
      </w:r>
    </w:p>
    <w:p w:rsidR="00E16A1A" w:rsidRDefault="00E16A1A" w:rsidP="0025336B">
      <w:pPr>
        <w:pStyle w:val="BodyTextIndent"/>
        <w:spacing w:after="120"/>
        <w:ind w:firstLine="0"/>
      </w:pPr>
      <w:r>
        <w:t xml:space="preserve">In this paper, </w:t>
      </w:r>
      <w:r w:rsidR="00F92A43">
        <w:t>two</w:t>
      </w:r>
      <w:r>
        <w:t xml:space="preserve"> new design</w:t>
      </w:r>
      <w:r w:rsidR="00F92A43">
        <w:t>s</w:t>
      </w:r>
      <w:r>
        <w:t xml:space="preserve"> for STT-LUTs </w:t>
      </w:r>
      <w:r w:rsidR="00F92A43">
        <w:t>are</w:t>
      </w:r>
      <w:r>
        <w:t xml:space="preserve"> presented that operates using dynamic voltage mode logic</w:t>
      </w:r>
      <w:r w:rsidR="008B197E">
        <w:t xml:space="preserve"> </w:t>
      </w:r>
      <w:r w:rsidR="00F92A43">
        <w:t>and outperform</w:t>
      </w:r>
      <w:r>
        <w:t xml:space="preserve"> the conventional dynamic current mode STT-LUT in all aspect</w:t>
      </w:r>
      <w:r w:rsidR="0025336B">
        <w:t>s</w:t>
      </w:r>
      <w:r>
        <w:t xml:space="preserve"> of delay, active mode power, and </w:t>
      </w:r>
      <w:r w:rsidR="0025336B">
        <w:t>robustness</w:t>
      </w:r>
      <w:r>
        <w:t xml:space="preserve"> against process variations. The comprehensive analysis of </w:t>
      </w:r>
      <w:r w:rsidR="00156FB5">
        <w:t>t</w:t>
      </w:r>
      <w:r>
        <w:t xml:space="preserve">he </w:t>
      </w:r>
      <w:r w:rsidR="00156FB5">
        <w:t>proposed</w:t>
      </w:r>
      <w:r>
        <w:t xml:space="preserve"> design</w:t>
      </w:r>
      <w:r w:rsidR="00F92A43">
        <w:t>s</w:t>
      </w:r>
      <w:r>
        <w:t xml:space="preserve"> and </w:t>
      </w:r>
      <w:r w:rsidR="0025336B">
        <w:t>their comparison</w:t>
      </w:r>
      <w:r>
        <w:t xml:space="preserve"> </w:t>
      </w:r>
      <w:r w:rsidR="00156FB5">
        <w:t>against</w:t>
      </w:r>
      <w:r>
        <w:t xml:space="preserve"> the </w:t>
      </w:r>
      <w:r w:rsidR="00156FB5">
        <w:t>conventional</w:t>
      </w:r>
      <w:r>
        <w:t xml:space="preserve"> design </w:t>
      </w:r>
      <w:r w:rsidR="00156FB5">
        <w:t>shows</w:t>
      </w:r>
      <w:r>
        <w:t xml:space="preserve"> that the </w:t>
      </w:r>
      <w:r w:rsidR="00156FB5">
        <w:t>proposed</w:t>
      </w:r>
      <w:r>
        <w:t xml:space="preserve"> </w:t>
      </w:r>
      <w:r w:rsidR="00156FB5">
        <w:t>design</w:t>
      </w:r>
      <w:r w:rsidR="00F92A43">
        <w:t>s</w:t>
      </w:r>
      <w:r>
        <w:t xml:space="preserve"> </w:t>
      </w:r>
      <w:r w:rsidR="0025336B">
        <w:t>are able</w:t>
      </w:r>
      <w:r w:rsidR="00156FB5">
        <w:t xml:space="preserve"> to offer higher fan-in </w:t>
      </w:r>
      <w:r w:rsidR="0025336B">
        <w:t>STT-</w:t>
      </w:r>
      <w:r w:rsidR="00156FB5">
        <w:t>LUTs under</w:t>
      </w:r>
      <w:r w:rsidR="0025336B">
        <w:t xml:space="preserve"> a</w:t>
      </w:r>
      <w:r w:rsidR="00156FB5">
        <w:t xml:space="preserve"> given power, performance, and </w:t>
      </w:r>
      <w:r w:rsidR="0025336B">
        <w:t>robustness</w:t>
      </w:r>
      <w:r w:rsidR="00156FB5">
        <w:t xml:space="preserve"> constraints.</w:t>
      </w:r>
    </w:p>
    <w:p w:rsidR="008B197E" w:rsidRDefault="008B197E">
      <w:pPr>
        <w:pStyle w:val="Heading1"/>
        <w:spacing w:before="120"/>
      </w:pPr>
      <w:r>
        <w:t>ACKNOWLEDGMENTS</w:t>
      </w:r>
    </w:p>
    <w:p w:rsidR="008B197E" w:rsidRDefault="009F49DF" w:rsidP="000424BF">
      <w:pPr>
        <w:pStyle w:val="BodyTextIndent"/>
        <w:spacing w:after="120"/>
        <w:ind w:firstLine="0"/>
      </w:pPr>
      <w:r w:rsidRPr="009F49DF">
        <w:t xml:space="preserve">This research is funded by </w:t>
      </w:r>
      <w:r w:rsidR="000424BF">
        <w:t>DARPA</w:t>
      </w:r>
      <w:r w:rsidRPr="009F49DF">
        <w:t>.</w:t>
      </w:r>
    </w:p>
    <w:p w:rsidR="008B197E" w:rsidRDefault="008B197E">
      <w:pPr>
        <w:pStyle w:val="Heading1"/>
        <w:spacing w:before="120"/>
      </w:pPr>
      <w:r>
        <w:t>REFERENCES</w:t>
      </w:r>
    </w:p>
    <w:p w:rsidR="00156FB5" w:rsidRDefault="00A7183D" w:rsidP="00852131">
      <w:pPr>
        <w:pStyle w:val="References"/>
        <w:numPr>
          <w:ilvl w:val="0"/>
          <w:numId w:val="0"/>
        </w:numPr>
        <w:spacing w:after="0"/>
        <w:ind w:left="360" w:hanging="360"/>
        <w:jc w:val="both"/>
        <w:rPr>
          <w:szCs w:val="18"/>
        </w:rPr>
      </w:pPr>
      <w:r>
        <w:rPr>
          <w:szCs w:val="18"/>
        </w:rPr>
        <w:t>[1]</w:t>
      </w:r>
      <w:r>
        <w:rPr>
          <w:szCs w:val="18"/>
        </w:rPr>
        <w:tab/>
      </w:r>
      <w:r w:rsidR="00156FB5" w:rsidRPr="00156FB5">
        <w:rPr>
          <w:szCs w:val="18"/>
        </w:rPr>
        <w:t xml:space="preserve">C. Augustine, </w:t>
      </w:r>
      <w:proofErr w:type="gramStart"/>
      <w:r w:rsidR="00852131">
        <w:rPr>
          <w:szCs w:val="18"/>
        </w:rPr>
        <w:t>et</w:t>
      </w:r>
      <w:proofErr w:type="gramEnd"/>
      <w:r w:rsidR="00852131">
        <w:rPr>
          <w:szCs w:val="18"/>
        </w:rPr>
        <w:t>. al.</w:t>
      </w:r>
      <w:r w:rsidR="00156FB5" w:rsidRPr="00156FB5">
        <w:rPr>
          <w:szCs w:val="18"/>
        </w:rPr>
        <w:t xml:space="preserve"> “Spin-Transfer Torque MRAMs for Low Power Memories: Perspective and Prospective,” IEEE Sensors Journal, vol. 12, no. 4, pp. 756 – 766, 2012</w:t>
      </w:r>
      <w:r w:rsidR="00791134">
        <w:rPr>
          <w:szCs w:val="18"/>
        </w:rPr>
        <w:t>.</w:t>
      </w:r>
    </w:p>
    <w:p w:rsidR="00791134" w:rsidRDefault="00791134" w:rsidP="00390F58">
      <w:pPr>
        <w:pStyle w:val="References"/>
        <w:numPr>
          <w:ilvl w:val="0"/>
          <w:numId w:val="0"/>
        </w:numPr>
        <w:spacing w:after="0"/>
        <w:ind w:left="360" w:hanging="360"/>
        <w:jc w:val="both"/>
      </w:pPr>
      <w:r>
        <w:rPr>
          <w:szCs w:val="18"/>
        </w:rPr>
        <w:t xml:space="preserve">[2] </w:t>
      </w:r>
      <w:r>
        <w:t>J. P. Wang</w:t>
      </w:r>
      <w:r w:rsidR="00390F58">
        <w:t>,</w:t>
      </w:r>
      <w:r>
        <w:t xml:space="preserve"> </w:t>
      </w:r>
      <w:proofErr w:type="gramStart"/>
      <w:r w:rsidR="00390F58">
        <w:t>et</w:t>
      </w:r>
      <w:proofErr w:type="gramEnd"/>
      <w:r w:rsidR="00390F58">
        <w:t xml:space="preserve">. </w:t>
      </w:r>
      <w:proofErr w:type="gramStart"/>
      <w:r w:rsidR="00390F58">
        <w:t>al.</w:t>
      </w:r>
      <w:r>
        <w:t>, “Programmable spintronic logic devices for reconfigurable computation and beyond history and outlook,” J. Nano-Electron.</w:t>
      </w:r>
      <w:proofErr w:type="gramEnd"/>
      <w:r>
        <w:t xml:space="preserve"> </w:t>
      </w:r>
      <w:proofErr w:type="spellStart"/>
      <w:proofErr w:type="gramStart"/>
      <w:r>
        <w:t>Optoelectron</w:t>
      </w:r>
      <w:proofErr w:type="spellEnd"/>
      <w:r>
        <w:t>.,</w:t>
      </w:r>
      <w:proofErr w:type="gramEnd"/>
      <w:r>
        <w:t xml:space="preserve"> vol. 3, no. 1, pp. 12–23, Mar. 2008</w:t>
      </w:r>
    </w:p>
    <w:p w:rsidR="00315F3F" w:rsidRDefault="00315F3F" w:rsidP="00852131">
      <w:pPr>
        <w:pStyle w:val="References"/>
        <w:numPr>
          <w:ilvl w:val="0"/>
          <w:numId w:val="0"/>
        </w:numPr>
        <w:spacing w:after="0"/>
        <w:ind w:left="360" w:hanging="360"/>
        <w:jc w:val="both"/>
        <w:rPr>
          <w:szCs w:val="18"/>
        </w:rPr>
      </w:pPr>
      <w:r w:rsidRPr="00315F3F">
        <w:rPr>
          <w:szCs w:val="18"/>
        </w:rPr>
        <w:t xml:space="preserve">[3] M. </w:t>
      </w:r>
      <w:proofErr w:type="spellStart"/>
      <w:r w:rsidRPr="00315F3F">
        <w:rPr>
          <w:szCs w:val="18"/>
        </w:rPr>
        <w:t>Rasquinha</w:t>
      </w:r>
      <w:proofErr w:type="spellEnd"/>
      <w:r w:rsidRPr="00315F3F">
        <w:rPr>
          <w:szCs w:val="18"/>
        </w:rPr>
        <w:t xml:space="preserve">, </w:t>
      </w:r>
      <w:proofErr w:type="gramStart"/>
      <w:r w:rsidR="00852131">
        <w:rPr>
          <w:szCs w:val="18"/>
        </w:rPr>
        <w:t>et</w:t>
      </w:r>
      <w:proofErr w:type="gramEnd"/>
      <w:r w:rsidR="00852131">
        <w:rPr>
          <w:szCs w:val="18"/>
        </w:rPr>
        <w:t xml:space="preserve">. </w:t>
      </w:r>
      <w:proofErr w:type="gramStart"/>
      <w:r w:rsidR="00852131">
        <w:rPr>
          <w:szCs w:val="18"/>
        </w:rPr>
        <w:t>al</w:t>
      </w:r>
      <w:proofErr w:type="gramEnd"/>
      <w:r w:rsidR="00852131">
        <w:rPr>
          <w:szCs w:val="18"/>
        </w:rPr>
        <w:t xml:space="preserve">. </w:t>
      </w:r>
      <w:r w:rsidRPr="00315F3F">
        <w:rPr>
          <w:szCs w:val="18"/>
        </w:rPr>
        <w:t xml:space="preserve"> “An energy efficient cache design using Spin Torque Transfer (STT) RAM,” ACM/IEEE International Symposium on Low-Power Electronics and Design, pp. 389-394, 2010</w:t>
      </w:r>
    </w:p>
    <w:p w:rsidR="004A043D" w:rsidRDefault="00315F3F" w:rsidP="004A043D">
      <w:pPr>
        <w:autoSpaceDE w:val="0"/>
        <w:autoSpaceDN w:val="0"/>
        <w:adjustRightInd w:val="0"/>
        <w:spacing w:after="0"/>
        <w:ind w:left="288" w:hanging="288"/>
        <w:rPr>
          <w:szCs w:val="18"/>
        </w:rPr>
      </w:pPr>
      <w:r>
        <w:rPr>
          <w:szCs w:val="18"/>
        </w:rPr>
        <w:lastRenderedPageBreak/>
        <w:t xml:space="preserve">[4] </w:t>
      </w:r>
      <w:r w:rsidRPr="00315F3F">
        <w:rPr>
          <w:szCs w:val="18"/>
        </w:rPr>
        <w:t xml:space="preserve">D. Suzuki </w:t>
      </w:r>
      <w:proofErr w:type="gramStart"/>
      <w:r w:rsidRPr="00315F3F">
        <w:rPr>
          <w:szCs w:val="18"/>
        </w:rPr>
        <w:t>et</w:t>
      </w:r>
      <w:proofErr w:type="gramEnd"/>
      <w:r w:rsidRPr="00315F3F">
        <w:rPr>
          <w:szCs w:val="18"/>
        </w:rPr>
        <w:t xml:space="preserve">. </w:t>
      </w:r>
      <w:proofErr w:type="gramStart"/>
      <w:r w:rsidRPr="00315F3F">
        <w:rPr>
          <w:szCs w:val="18"/>
        </w:rPr>
        <w:t>al., “Fabrication of a nonvolatile lookup-table circuit chip using magneto/semiconductor-hybrid structure for an immediate-power-up field programmable gate array,” Symposium on VLSI Circuits, pp. 80 –81, 2009.</w:t>
      </w:r>
      <w:proofErr w:type="gramEnd"/>
    </w:p>
    <w:p w:rsidR="004A043D" w:rsidRDefault="00315F3F" w:rsidP="008328DB">
      <w:pPr>
        <w:autoSpaceDE w:val="0"/>
        <w:autoSpaceDN w:val="0"/>
        <w:adjustRightInd w:val="0"/>
        <w:spacing w:after="0"/>
        <w:ind w:left="288" w:hanging="288"/>
        <w:rPr>
          <w:szCs w:val="18"/>
        </w:rPr>
      </w:pPr>
      <w:r w:rsidRPr="00315F3F">
        <w:rPr>
          <w:szCs w:val="18"/>
        </w:rPr>
        <w:t>[</w:t>
      </w:r>
      <w:r>
        <w:rPr>
          <w:szCs w:val="18"/>
        </w:rPr>
        <w:t>5</w:t>
      </w:r>
      <w:r w:rsidRPr="00315F3F">
        <w:rPr>
          <w:szCs w:val="18"/>
        </w:rPr>
        <w:t xml:space="preserve">] W. Zhao, </w:t>
      </w:r>
      <w:proofErr w:type="gramStart"/>
      <w:r w:rsidR="008328DB">
        <w:rPr>
          <w:szCs w:val="18"/>
        </w:rPr>
        <w:t>et</w:t>
      </w:r>
      <w:proofErr w:type="gramEnd"/>
      <w:r w:rsidR="008328DB">
        <w:rPr>
          <w:szCs w:val="18"/>
        </w:rPr>
        <w:t>. al.</w:t>
      </w:r>
      <w:r w:rsidRPr="00315F3F">
        <w:rPr>
          <w:szCs w:val="18"/>
        </w:rPr>
        <w:t>, “Spin Transfer Torque (STT)-MRAM-Based Runtime Reconfiguration FPGA Circuit,” ACM Transactions on Embedded Computing Systems, vol. 9, no. 2, 2009</w:t>
      </w:r>
    </w:p>
    <w:p w:rsidR="004A043D" w:rsidRDefault="004A043D" w:rsidP="00852131">
      <w:pPr>
        <w:autoSpaceDE w:val="0"/>
        <w:autoSpaceDN w:val="0"/>
        <w:adjustRightInd w:val="0"/>
        <w:spacing w:after="0"/>
        <w:ind w:left="288" w:hanging="288"/>
        <w:rPr>
          <w:szCs w:val="18"/>
        </w:rPr>
      </w:pPr>
      <w:r w:rsidRPr="00A06708">
        <w:rPr>
          <w:szCs w:val="18"/>
        </w:rPr>
        <w:t>[</w:t>
      </w:r>
      <w:r>
        <w:rPr>
          <w:szCs w:val="18"/>
        </w:rPr>
        <w:t>6</w:t>
      </w:r>
      <w:r w:rsidRPr="00A06708">
        <w:rPr>
          <w:szCs w:val="18"/>
        </w:rPr>
        <w:t xml:space="preserve">] M. </w:t>
      </w:r>
      <w:proofErr w:type="spellStart"/>
      <w:r w:rsidRPr="00A06708">
        <w:rPr>
          <w:szCs w:val="18"/>
        </w:rPr>
        <w:t>Allam</w:t>
      </w:r>
      <w:proofErr w:type="spellEnd"/>
      <w:r w:rsidR="00852131">
        <w:rPr>
          <w:szCs w:val="18"/>
        </w:rPr>
        <w:t xml:space="preserve"> </w:t>
      </w:r>
      <w:proofErr w:type="gramStart"/>
      <w:r w:rsidR="00852131">
        <w:rPr>
          <w:szCs w:val="18"/>
        </w:rPr>
        <w:t>et</w:t>
      </w:r>
      <w:proofErr w:type="gramEnd"/>
      <w:r w:rsidR="00852131">
        <w:rPr>
          <w:szCs w:val="18"/>
        </w:rPr>
        <w:t xml:space="preserve">. </w:t>
      </w:r>
      <w:proofErr w:type="gramStart"/>
      <w:r w:rsidR="00852131">
        <w:rPr>
          <w:szCs w:val="18"/>
        </w:rPr>
        <w:t>al</w:t>
      </w:r>
      <w:proofErr w:type="gramEnd"/>
      <w:r w:rsidRPr="00A06708">
        <w:rPr>
          <w:szCs w:val="18"/>
        </w:rPr>
        <w:t>. Dynamic current mode logic</w:t>
      </w:r>
      <w:r>
        <w:rPr>
          <w:szCs w:val="18"/>
        </w:rPr>
        <w:t xml:space="preserve"> </w:t>
      </w:r>
      <w:r w:rsidRPr="00A06708">
        <w:rPr>
          <w:szCs w:val="18"/>
        </w:rPr>
        <w:t>(</w:t>
      </w:r>
      <w:proofErr w:type="spellStart"/>
      <w:r w:rsidRPr="00A06708">
        <w:rPr>
          <w:szCs w:val="18"/>
        </w:rPr>
        <w:t>dycml</w:t>
      </w:r>
      <w:proofErr w:type="spellEnd"/>
      <w:r w:rsidRPr="00A06708">
        <w:rPr>
          <w:szCs w:val="18"/>
        </w:rPr>
        <w:t>): a new low-power high</w:t>
      </w:r>
      <w:r>
        <w:rPr>
          <w:szCs w:val="18"/>
        </w:rPr>
        <w:t>-performance logic style. Solid-</w:t>
      </w:r>
      <w:r w:rsidRPr="00A06708">
        <w:rPr>
          <w:szCs w:val="18"/>
        </w:rPr>
        <w:t>State Circuits, IEEE Journal of, 36(3):550 –558, mar 2001</w:t>
      </w:r>
      <w:r>
        <w:rPr>
          <w:szCs w:val="18"/>
        </w:rPr>
        <w:t>.</w:t>
      </w:r>
    </w:p>
    <w:p w:rsidR="00AC1FB1" w:rsidRDefault="00AC1FB1" w:rsidP="00390F58">
      <w:pPr>
        <w:spacing w:after="0"/>
        <w:ind w:left="288" w:hanging="288"/>
        <w:rPr>
          <w:szCs w:val="18"/>
        </w:rPr>
      </w:pPr>
      <w:r w:rsidRPr="00AC1FB1">
        <w:rPr>
          <w:szCs w:val="18"/>
        </w:rPr>
        <w:t>[</w:t>
      </w:r>
      <w:r>
        <w:rPr>
          <w:szCs w:val="18"/>
        </w:rPr>
        <w:t>7</w:t>
      </w:r>
      <w:r w:rsidRPr="00AC1FB1">
        <w:rPr>
          <w:szCs w:val="18"/>
        </w:rPr>
        <w:t xml:space="preserve">] PTM: </w:t>
      </w:r>
      <w:hyperlink r:id="rId36" w:history="1">
        <w:r w:rsidRPr="00AC1FB1">
          <w:rPr>
            <w:szCs w:val="18"/>
          </w:rPr>
          <w:t>http://www.eas.asu.edu/~ptm</w:t>
        </w:r>
      </w:hyperlink>
    </w:p>
    <w:p w:rsidR="000A08C5" w:rsidRDefault="000A08C5" w:rsidP="000424BF">
      <w:pPr>
        <w:spacing w:after="0"/>
        <w:ind w:left="288" w:hanging="288"/>
        <w:rPr>
          <w:szCs w:val="18"/>
        </w:rPr>
      </w:pPr>
      <w:r>
        <w:rPr>
          <w:szCs w:val="18"/>
        </w:rPr>
        <w:t xml:space="preserve">[8] </w:t>
      </w:r>
      <w:r w:rsidRPr="000A08C5">
        <w:rPr>
          <w:szCs w:val="18"/>
        </w:rPr>
        <w:t xml:space="preserve">Z. Xu, C. Yang, M. Mao, K. B. Sutaria, C. </w:t>
      </w:r>
      <w:proofErr w:type="spellStart"/>
      <w:r w:rsidRPr="000A08C5">
        <w:rPr>
          <w:szCs w:val="18"/>
        </w:rPr>
        <w:t>Chakrabarti</w:t>
      </w:r>
      <w:proofErr w:type="spellEnd"/>
      <w:r w:rsidRPr="000A08C5">
        <w:rPr>
          <w:szCs w:val="18"/>
        </w:rPr>
        <w:t>, Y. Cao, “Compact modeling of STT-MTJ devices,” Solid-State Electronics, vol. 102, pp. 76-81, Dec</w:t>
      </w:r>
      <w:r w:rsidR="000424BF">
        <w:rPr>
          <w:szCs w:val="18"/>
        </w:rPr>
        <w:t>.</w:t>
      </w:r>
      <w:r w:rsidRPr="000A08C5">
        <w:rPr>
          <w:szCs w:val="18"/>
        </w:rPr>
        <w:t xml:space="preserve"> 2014</w:t>
      </w:r>
    </w:p>
    <w:p w:rsidR="000A08C5" w:rsidRDefault="000A08C5" w:rsidP="00852131">
      <w:pPr>
        <w:spacing w:after="0"/>
        <w:ind w:left="288" w:hanging="288"/>
        <w:rPr>
          <w:szCs w:val="18"/>
        </w:rPr>
      </w:pPr>
      <w:r>
        <w:rPr>
          <w:szCs w:val="18"/>
        </w:rPr>
        <w:t xml:space="preserve">[9] </w:t>
      </w:r>
      <w:r w:rsidRPr="000A08C5">
        <w:rPr>
          <w:szCs w:val="18"/>
        </w:rPr>
        <w:t xml:space="preserve">S. Ikeda, </w:t>
      </w:r>
      <w:proofErr w:type="gramStart"/>
      <w:r w:rsidR="00852131">
        <w:rPr>
          <w:szCs w:val="18"/>
        </w:rPr>
        <w:t>et</w:t>
      </w:r>
      <w:proofErr w:type="gramEnd"/>
      <w:r w:rsidR="00852131">
        <w:rPr>
          <w:szCs w:val="18"/>
        </w:rPr>
        <w:t>. al.,</w:t>
      </w:r>
      <w:r w:rsidRPr="000A08C5">
        <w:rPr>
          <w:szCs w:val="18"/>
        </w:rPr>
        <w:t xml:space="preserve"> “Tunnel magnetoresistance of 604% at 300 K by suppression of Ta diffusion in </w:t>
      </w:r>
      <w:proofErr w:type="spellStart"/>
      <w:r w:rsidRPr="000A08C5">
        <w:rPr>
          <w:szCs w:val="18"/>
        </w:rPr>
        <w:t>CoFeB</w:t>
      </w:r>
      <w:proofErr w:type="spellEnd"/>
      <w:r w:rsidRPr="000A08C5">
        <w:rPr>
          <w:szCs w:val="18"/>
        </w:rPr>
        <w:t>/</w:t>
      </w:r>
      <w:proofErr w:type="spellStart"/>
      <w:r w:rsidRPr="000A08C5">
        <w:rPr>
          <w:szCs w:val="18"/>
        </w:rPr>
        <w:t>MgO</w:t>
      </w:r>
      <w:proofErr w:type="spellEnd"/>
      <w:r w:rsidRPr="000A08C5">
        <w:rPr>
          <w:szCs w:val="18"/>
        </w:rPr>
        <w:t>/</w:t>
      </w:r>
      <w:proofErr w:type="spellStart"/>
      <w:r w:rsidRPr="000A08C5">
        <w:rPr>
          <w:szCs w:val="18"/>
        </w:rPr>
        <w:t>CoFeB</w:t>
      </w:r>
      <w:proofErr w:type="spellEnd"/>
      <w:r w:rsidRPr="000A08C5">
        <w:rPr>
          <w:szCs w:val="18"/>
        </w:rPr>
        <w:t xml:space="preserve"> pseudo-spin-valves annealed at high temperature,” Appl. Phys. Lett, vol. 93, pp. 082508-1–082508-3, 2008.</w:t>
      </w:r>
    </w:p>
    <w:p w:rsidR="00156FB5" w:rsidRDefault="00F262E7" w:rsidP="00390F58">
      <w:pPr>
        <w:autoSpaceDE w:val="0"/>
        <w:autoSpaceDN w:val="0"/>
        <w:adjustRightInd w:val="0"/>
        <w:spacing w:after="0"/>
        <w:ind w:left="288" w:hanging="288"/>
        <w:rPr>
          <w:szCs w:val="18"/>
        </w:rPr>
      </w:pPr>
      <w:proofErr w:type="gramStart"/>
      <w:r>
        <w:rPr>
          <w:szCs w:val="18"/>
        </w:rPr>
        <w:t xml:space="preserve">[10] </w:t>
      </w:r>
      <w:r w:rsidRPr="00F262E7">
        <w:rPr>
          <w:szCs w:val="18"/>
        </w:rPr>
        <w:t xml:space="preserve">Y. </w:t>
      </w:r>
      <w:proofErr w:type="spellStart"/>
      <w:r w:rsidRPr="00F262E7">
        <w:rPr>
          <w:szCs w:val="18"/>
        </w:rPr>
        <w:t>Taur</w:t>
      </w:r>
      <w:proofErr w:type="spellEnd"/>
      <w:r w:rsidRPr="00F262E7">
        <w:rPr>
          <w:szCs w:val="18"/>
        </w:rPr>
        <w:t xml:space="preserve"> and T. H. Ning, Fundamentals of Modern VLSI Devices.</w:t>
      </w:r>
      <w:proofErr w:type="gramEnd"/>
      <w:r w:rsidRPr="00F262E7">
        <w:rPr>
          <w:szCs w:val="18"/>
        </w:rPr>
        <w:t xml:space="preserve"> New York: Cambridge Univ. Press, 1998.</w:t>
      </w:r>
    </w:p>
    <w:p w:rsidR="00390F58" w:rsidRDefault="00390F58" w:rsidP="00390F58">
      <w:pPr>
        <w:autoSpaceDE w:val="0"/>
        <w:autoSpaceDN w:val="0"/>
        <w:adjustRightInd w:val="0"/>
        <w:ind w:left="288" w:hanging="288"/>
        <w:rPr>
          <w:szCs w:val="18"/>
        </w:rPr>
      </w:pPr>
      <w:r>
        <w:rPr>
          <w:szCs w:val="18"/>
        </w:rPr>
        <w:t xml:space="preserve">[11] E. Deng, </w:t>
      </w:r>
      <w:proofErr w:type="gramStart"/>
      <w:r>
        <w:rPr>
          <w:szCs w:val="18"/>
        </w:rPr>
        <w:t>et</w:t>
      </w:r>
      <w:proofErr w:type="gramEnd"/>
      <w:r>
        <w:rPr>
          <w:szCs w:val="18"/>
        </w:rPr>
        <w:t xml:space="preserve">. </w:t>
      </w:r>
      <w:proofErr w:type="gramStart"/>
      <w:r>
        <w:rPr>
          <w:szCs w:val="18"/>
        </w:rPr>
        <w:t>al., “</w:t>
      </w:r>
      <w:r w:rsidRPr="006B3247">
        <w:rPr>
          <w:rFonts w:asciiTheme="majorBidi" w:hAnsiTheme="majorBidi" w:cstheme="majorBidi"/>
          <w:szCs w:val="18"/>
        </w:rPr>
        <w:t xml:space="preserve">Design Optimization and Analysis of </w:t>
      </w:r>
      <w:proofErr w:type="spellStart"/>
      <w:r w:rsidRPr="006B3247">
        <w:rPr>
          <w:rFonts w:asciiTheme="majorBidi" w:hAnsiTheme="majorBidi" w:cstheme="majorBidi"/>
          <w:szCs w:val="18"/>
        </w:rPr>
        <w:t>Multicontext</w:t>
      </w:r>
      <w:proofErr w:type="spellEnd"/>
      <w:r w:rsidRPr="006B3247">
        <w:rPr>
          <w:rFonts w:asciiTheme="majorBidi" w:hAnsiTheme="majorBidi" w:cstheme="majorBidi"/>
          <w:szCs w:val="18"/>
        </w:rPr>
        <w:t xml:space="preserve"> STT-MTJ/CMOS Logic Circuits</w:t>
      </w:r>
      <w:r>
        <w:rPr>
          <w:rFonts w:asciiTheme="majorBidi" w:hAnsiTheme="majorBidi" w:cstheme="majorBidi"/>
          <w:szCs w:val="18"/>
        </w:rPr>
        <w:t>,” IEEE Trans. on Nanotechnology, vol. 14, no. 1, pp. 169-177, 2015.</w:t>
      </w:r>
      <w:proofErr w:type="gramEnd"/>
    </w:p>
    <w:p w:rsidR="00390F58" w:rsidRPr="00156FB5" w:rsidRDefault="00390F58" w:rsidP="00A74198">
      <w:pPr>
        <w:autoSpaceDE w:val="0"/>
        <w:autoSpaceDN w:val="0"/>
        <w:adjustRightInd w:val="0"/>
        <w:ind w:left="288" w:hanging="288"/>
        <w:rPr>
          <w:sz w:val="16"/>
          <w:szCs w:val="18"/>
        </w:rPr>
        <w:sectPr w:rsidR="00390F58" w:rsidRPr="00156FB5" w:rsidSect="003B4153">
          <w:type w:val="continuous"/>
          <w:pgSz w:w="12240" w:h="15840" w:code="1"/>
          <w:pgMar w:top="1080" w:right="1080" w:bottom="1440" w:left="1080" w:header="720" w:footer="720" w:gutter="0"/>
          <w:cols w:num="2" w:space="475"/>
        </w:sectPr>
      </w:pPr>
    </w:p>
    <w:p w:rsidR="008B197E" w:rsidRDefault="008B197E" w:rsidP="008328D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38B" w:rsidRDefault="0034338B">
      <w:r>
        <w:separator/>
      </w:r>
    </w:p>
  </w:endnote>
  <w:endnote w:type="continuationSeparator" w:id="0">
    <w:p w:rsidR="0034338B" w:rsidRDefault="0034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3C9" w:rsidRDefault="005B33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33C9" w:rsidRDefault="005B33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38B" w:rsidRDefault="0034338B">
      <w:r>
        <w:separator/>
      </w:r>
    </w:p>
  </w:footnote>
  <w:footnote w:type="continuationSeparator" w:id="0">
    <w:p w:rsidR="0034338B" w:rsidRDefault="00343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F7167C"/>
    <w:multiLevelType w:val="hybridMultilevel"/>
    <w:tmpl w:val="151E9E40"/>
    <w:lvl w:ilvl="0" w:tplc="2286B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028D7"/>
    <w:multiLevelType w:val="hybridMultilevel"/>
    <w:tmpl w:val="16BA4CB0"/>
    <w:lvl w:ilvl="0" w:tplc="58C855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E1166"/>
    <w:multiLevelType w:val="hybridMultilevel"/>
    <w:tmpl w:val="75BE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6532489"/>
    <w:multiLevelType w:val="hybridMultilevel"/>
    <w:tmpl w:val="151E9E40"/>
    <w:lvl w:ilvl="0" w:tplc="2286B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616"/>
    <w:rsid w:val="00010822"/>
    <w:rsid w:val="00011AFC"/>
    <w:rsid w:val="00016D54"/>
    <w:rsid w:val="0002610E"/>
    <w:rsid w:val="0002700F"/>
    <w:rsid w:val="00031AB9"/>
    <w:rsid w:val="000355F6"/>
    <w:rsid w:val="00036604"/>
    <w:rsid w:val="000424BF"/>
    <w:rsid w:val="00044252"/>
    <w:rsid w:val="00054AF5"/>
    <w:rsid w:val="00066517"/>
    <w:rsid w:val="0009518B"/>
    <w:rsid w:val="0009634A"/>
    <w:rsid w:val="000A08C5"/>
    <w:rsid w:val="000A160C"/>
    <w:rsid w:val="000A1FAA"/>
    <w:rsid w:val="000A2E86"/>
    <w:rsid w:val="000A6043"/>
    <w:rsid w:val="000C6F63"/>
    <w:rsid w:val="000C7E0E"/>
    <w:rsid w:val="000E3247"/>
    <w:rsid w:val="000F071E"/>
    <w:rsid w:val="000F1C97"/>
    <w:rsid w:val="000F3968"/>
    <w:rsid w:val="000F40F3"/>
    <w:rsid w:val="000F5DF6"/>
    <w:rsid w:val="001064B2"/>
    <w:rsid w:val="001378B9"/>
    <w:rsid w:val="00156FB5"/>
    <w:rsid w:val="001578EE"/>
    <w:rsid w:val="001662EF"/>
    <w:rsid w:val="00171D2C"/>
    <w:rsid w:val="00172159"/>
    <w:rsid w:val="0017253C"/>
    <w:rsid w:val="00185C07"/>
    <w:rsid w:val="001A24C5"/>
    <w:rsid w:val="001A7772"/>
    <w:rsid w:val="001D2E18"/>
    <w:rsid w:val="001E4A9D"/>
    <w:rsid w:val="001E7EFF"/>
    <w:rsid w:val="002049AE"/>
    <w:rsid w:val="00206035"/>
    <w:rsid w:val="002146AB"/>
    <w:rsid w:val="002158F5"/>
    <w:rsid w:val="002301B6"/>
    <w:rsid w:val="00233329"/>
    <w:rsid w:val="00240AE9"/>
    <w:rsid w:val="00244F70"/>
    <w:rsid w:val="00252E10"/>
    <w:rsid w:val="0025336B"/>
    <w:rsid w:val="00254FD8"/>
    <w:rsid w:val="00261FED"/>
    <w:rsid w:val="00276401"/>
    <w:rsid w:val="0027698B"/>
    <w:rsid w:val="002867C9"/>
    <w:rsid w:val="00290AC4"/>
    <w:rsid w:val="002A30A4"/>
    <w:rsid w:val="002C2B89"/>
    <w:rsid w:val="002D2C9C"/>
    <w:rsid w:val="002D4AF4"/>
    <w:rsid w:val="002D6A57"/>
    <w:rsid w:val="002E1EFD"/>
    <w:rsid w:val="00315F3F"/>
    <w:rsid w:val="00321317"/>
    <w:rsid w:val="0033648C"/>
    <w:rsid w:val="00340105"/>
    <w:rsid w:val="003417CD"/>
    <w:rsid w:val="0034338B"/>
    <w:rsid w:val="0034523E"/>
    <w:rsid w:val="0036014E"/>
    <w:rsid w:val="0037367E"/>
    <w:rsid w:val="00375299"/>
    <w:rsid w:val="00375D77"/>
    <w:rsid w:val="00377A65"/>
    <w:rsid w:val="00387340"/>
    <w:rsid w:val="00390F58"/>
    <w:rsid w:val="003B05C6"/>
    <w:rsid w:val="003B4153"/>
    <w:rsid w:val="003E3258"/>
    <w:rsid w:val="003F50C6"/>
    <w:rsid w:val="00430BAA"/>
    <w:rsid w:val="00431A00"/>
    <w:rsid w:val="00435BF8"/>
    <w:rsid w:val="00452DE0"/>
    <w:rsid w:val="0045594C"/>
    <w:rsid w:val="00466C44"/>
    <w:rsid w:val="00474255"/>
    <w:rsid w:val="00476ED2"/>
    <w:rsid w:val="00492D05"/>
    <w:rsid w:val="0049427F"/>
    <w:rsid w:val="004A043D"/>
    <w:rsid w:val="004C1C7E"/>
    <w:rsid w:val="004C2047"/>
    <w:rsid w:val="004C23E2"/>
    <w:rsid w:val="004D0DB8"/>
    <w:rsid w:val="004D68FC"/>
    <w:rsid w:val="004F206F"/>
    <w:rsid w:val="004F63E9"/>
    <w:rsid w:val="004F6765"/>
    <w:rsid w:val="0050011F"/>
    <w:rsid w:val="00513136"/>
    <w:rsid w:val="005162A3"/>
    <w:rsid w:val="00554B89"/>
    <w:rsid w:val="00556002"/>
    <w:rsid w:val="005600F4"/>
    <w:rsid w:val="00562290"/>
    <w:rsid w:val="00571120"/>
    <w:rsid w:val="00571CED"/>
    <w:rsid w:val="005842F9"/>
    <w:rsid w:val="005A0233"/>
    <w:rsid w:val="005B33C9"/>
    <w:rsid w:val="005B6A93"/>
    <w:rsid w:val="005D28A1"/>
    <w:rsid w:val="005D78B3"/>
    <w:rsid w:val="005E4EB3"/>
    <w:rsid w:val="005E7373"/>
    <w:rsid w:val="005F277C"/>
    <w:rsid w:val="00603A4D"/>
    <w:rsid w:val="006106EF"/>
    <w:rsid w:val="00611B4C"/>
    <w:rsid w:val="0061710B"/>
    <w:rsid w:val="00617F6D"/>
    <w:rsid w:val="00622953"/>
    <w:rsid w:val="006235A3"/>
    <w:rsid w:val="0062758A"/>
    <w:rsid w:val="006406B0"/>
    <w:rsid w:val="00641F38"/>
    <w:rsid w:val="0065341A"/>
    <w:rsid w:val="0065566A"/>
    <w:rsid w:val="00660ACB"/>
    <w:rsid w:val="00670EEA"/>
    <w:rsid w:val="00682A90"/>
    <w:rsid w:val="0068547D"/>
    <w:rsid w:val="0069356A"/>
    <w:rsid w:val="00693C53"/>
    <w:rsid w:val="006A031E"/>
    <w:rsid w:val="006A044B"/>
    <w:rsid w:val="006A1FA3"/>
    <w:rsid w:val="006A406D"/>
    <w:rsid w:val="006B7B21"/>
    <w:rsid w:val="006B7CD5"/>
    <w:rsid w:val="006C5E10"/>
    <w:rsid w:val="006D30B5"/>
    <w:rsid w:val="006D3C97"/>
    <w:rsid w:val="006D3C98"/>
    <w:rsid w:val="006D451E"/>
    <w:rsid w:val="006D72C2"/>
    <w:rsid w:val="006E06C5"/>
    <w:rsid w:val="006F1A8E"/>
    <w:rsid w:val="00722065"/>
    <w:rsid w:val="00722763"/>
    <w:rsid w:val="0073037A"/>
    <w:rsid w:val="00737114"/>
    <w:rsid w:val="00745676"/>
    <w:rsid w:val="00750174"/>
    <w:rsid w:val="0075215D"/>
    <w:rsid w:val="00762A98"/>
    <w:rsid w:val="0076449A"/>
    <w:rsid w:val="007646D3"/>
    <w:rsid w:val="0078289B"/>
    <w:rsid w:val="00787583"/>
    <w:rsid w:val="00791134"/>
    <w:rsid w:val="00793DF2"/>
    <w:rsid w:val="007A1BF0"/>
    <w:rsid w:val="007B7F54"/>
    <w:rsid w:val="007C08CF"/>
    <w:rsid w:val="007C3600"/>
    <w:rsid w:val="007E640C"/>
    <w:rsid w:val="007F3520"/>
    <w:rsid w:val="00810C0F"/>
    <w:rsid w:val="008269F1"/>
    <w:rsid w:val="008328DB"/>
    <w:rsid w:val="008416CD"/>
    <w:rsid w:val="00852131"/>
    <w:rsid w:val="008536AF"/>
    <w:rsid w:val="00857948"/>
    <w:rsid w:val="008652D3"/>
    <w:rsid w:val="0087467E"/>
    <w:rsid w:val="00886008"/>
    <w:rsid w:val="008B0897"/>
    <w:rsid w:val="008B197E"/>
    <w:rsid w:val="008B1A77"/>
    <w:rsid w:val="008B3BB6"/>
    <w:rsid w:val="008B3EBD"/>
    <w:rsid w:val="008C593C"/>
    <w:rsid w:val="008F6275"/>
    <w:rsid w:val="008F7414"/>
    <w:rsid w:val="00911723"/>
    <w:rsid w:val="00937B81"/>
    <w:rsid w:val="00940604"/>
    <w:rsid w:val="00941E05"/>
    <w:rsid w:val="00941EFD"/>
    <w:rsid w:val="00944AB2"/>
    <w:rsid w:val="00954543"/>
    <w:rsid w:val="00966378"/>
    <w:rsid w:val="00967309"/>
    <w:rsid w:val="00970CE8"/>
    <w:rsid w:val="00973A29"/>
    <w:rsid w:val="009834D3"/>
    <w:rsid w:val="009A5E36"/>
    <w:rsid w:val="009B697A"/>
    <w:rsid w:val="009B701B"/>
    <w:rsid w:val="009B7D5B"/>
    <w:rsid w:val="009C368B"/>
    <w:rsid w:val="009C4D60"/>
    <w:rsid w:val="009C6C8F"/>
    <w:rsid w:val="009D34F8"/>
    <w:rsid w:val="009D7B5B"/>
    <w:rsid w:val="009E08C6"/>
    <w:rsid w:val="009F1F6F"/>
    <w:rsid w:val="009F334B"/>
    <w:rsid w:val="009F49DF"/>
    <w:rsid w:val="009F7011"/>
    <w:rsid w:val="00A105B5"/>
    <w:rsid w:val="00A42D54"/>
    <w:rsid w:val="00A53651"/>
    <w:rsid w:val="00A57714"/>
    <w:rsid w:val="00A60B73"/>
    <w:rsid w:val="00A66E61"/>
    <w:rsid w:val="00A7183D"/>
    <w:rsid w:val="00A718A2"/>
    <w:rsid w:val="00A74165"/>
    <w:rsid w:val="00A74198"/>
    <w:rsid w:val="00A77A83"/>
    <w:rsid w:val="00A83707"/>
    <w:rsid w:val="00A876DF"/>
    <w:rsid w:val="00AA718F"/>
    <w:rsid w:val="00AC1FB1"/>
    <w:rsid w:val="00AE2664"/>
    <w:rsid w:val="00B117D5"/>
    <w:rsid w:val="00B131BB"/>
    <w:rsid w:val="00B373DD"/>
    <w:rsid w:val="00B512BC"/>
    <w:rsid w:val="00B57054"/>
    <w:rsid w:val="00B606DF"/>
    <w:rsid w:val="00B62C2C"/>
    <w:rsid w:val="00B63CFB"/>
    <w:rsid w:val="00B63F89"/>
    <w:rsid w:val="00B67C1C"/>
    <w:rsid w:val="00B7569A"/>
    <w:rsid w:val="00B86093"/>
    <w:rsid w:val="00B91AA9"/>
    <w:rsid w:val="00BB5E54"/>
    <w:rsid w:val="00BC27B7"/>
    <w:rsid w:val="00BC4C60"/>
    <w:rsid w:val="00BD0AF2"/>
    <w:rsid w:val="00BE67F5"/>
    <w:rsid w:val="00BF3697"/>
    <w:rsid w:val="00C05EFA"/>
    <w:rsid w:val="00C10DD8"/>
    <w:rsid w:val="00C12F22"/>
    <w:rsid w:val="00C211A9"/>
    <w:rsid w:val="00C42283"/>
    <w:rsid w:val="00C53DB1"/>
    <w:rsid w:val="00C6198E"/>
    <w:rsid w:val="00C7584B"/>
    <w:rsid w:val="00CB4646"/>
    <w:rsid w:val="00CC4E74"/>
    <w:rsid w:val="00CC70B8"/>
    <w:rsid w:val="00CD2314"/>
    <w:rsid w:val="00CD33AB"/>
    <w:rsid w:val="00CD7EC6"/>
    <w:rsid w:val="00CE2F09"/>
    <w:rsid w:val="00CF3EB0"/>
    <w:rsid w:val="00D02BE0"/>
    <w:rsid w:val="00D20023"/>
    <w:rsid w:val="00D3292B"/>
    <w:rsid w:val="00D33D58"/>
    <w:rsid w:val="00D366DD"/>
    <w:rsid w:val="00D42642"/>
    <w:rsid w:val="00D65C34"/>
    <w:rsid w:val="00DA072E"/>
    <w:rsid w:val="00DA70EA"/>
    <w:rsid w:val="00DB366C"/>
    <w:rsid w:val="00DB7AD4"/>
    <w:rsid w:val="00DC512C"/>
    <w:rsid w:val="00DD1A93"/>
    <w:rsid w:val="00E0235D"/>
    <w:rsid w:val="00E16A1A"/>
    <w:rsid w:val="00E26518"/>
    <w:rsid w:val="00E3178B"/>
    <w:rsid w:val="00E4093A"/>
    <w:rsid w:val="00E5635C"/>
    <w:rsid w:val="00E751E0"/>
    <w:rsid w:val="00E7533D"/>
    <w:rsid w:val="00E763E6"/>
    <w:rsid w:val="00E91476"/>
    <w:rsid w:val="00EB38FE"/>
    <w:rsid w:val="00EC1F6A"/>
    <w:rsid w:val="00ED3D93"/>
    <w:rsid w:val="00ED555C"/>
    <w:rsid w:val="00EE1D87"/>
    <w:rsid w:val="00EF1834"/>
    <w:rsid w:val="00EF6A89"/>
    <w:rsid w:val="00F15120"/>
    <w:rsid w:val="00F262E7"/>
    <w:rsid w:val="00F34659"/>
    <w:rsid w:val="00F354FE"/>
    <w:rsid w:val="00F47BCE"/>
    <w:rsid w:val="00F50B82"/>
    <w:rsid w:val="00F5619A"/>
    <w:rsid w:val="00F8439B"/>
    <w:rsid w:val="00F92A43"/>
    <w:rsid w:val="00F96495"/>
    <w:rsid w:val="00FB615D"/>
    <w:rsid w:val="00FD4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59"/>
    <w:rsid w:val="006F1A8E"/>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F1A8E"/>
    <w:pPr>
      <w:spacing w:after="0"/>
    </w:pPr>
    <w:rPr>
      <w:rFonts w:ascii="Tahoma" w:hAnsi="Tahoma" w:cs="Tahoma"/>
      <w:sz w:val="16"/>
      <w:szCs w:val="16"/>
    </w:rPr>
  </w:style>
  <w:style w:type="character" w:customStyle="1" w:styleId="BalloonTextChar">
    <w:name w:val="Balloon Text Char"/>
    <w:basedOn w:val="DefaultParagraphFont"/>
    <w:link w:val="BalloonText"/>
    <w:rsid w:val="006F1A8E"/>
    <w:rPr>
      <w:rFonts w:ascii="Tahoma" w:hAnsi="Tahoma" w:cs="Tahoma"/>
      <w:sz w:val="16"/>
      <w:szCs w:val="16"/>
    </w:rPr>
  </w:style>
  <w:style w:type="character" w:styleId="PlaceholderText">
    <w:name w:val="Placeholder Text"/>
    <w:basedOn w:val="DefaultParagraphFont"/>
    <w:uiPriority w:val="99"/>
    <w:semiHidden/>
    <w:rsid w:val="004C23E2"/>
    <w:rPr>
      <w:color w:val="808080"/>
    </w:rPr>
  </w:style>
  <w:style w:type="paragraph" w:styleId="ListParagraph">
    <w:name w:val="List Paragraph"/>
    <w:basedOn w:val="Normal"/>
    <w:uiPriority w:val="34"/>
    <w:qFormat/>
    <w:rsid w:val="00D65C34"/>
    <w:pPr>
      <w:ind w:left="720"/>
      <w:contextualSpacing/>
    </w:pPr>
  </w:style>
  <w:style w:type="character" w:styleId="Emphasis">
    <w:name w:val="Emphasis"/>
    <w:basedOn w:val="DefaultParagraphFont"/>
    <w:uiPriority w:val="20"/>
    <w:qFormat/>
    <w:rsid w:val="00315F3F"/>
    <w:rPr>
      <w:i/>
      <w:iCs/>
    </w:rPr>
  </w:style>
  <w:style w:type="paragraph" w:customStyle="1" w:styleId="sponsors">
    <w:name w:val="sponsors"/>
    <w:rsid w:val="009B697A"/>
    <w:pPr>
      <w:framePr w:wrap="auto" w:hAnchor="text" w:x="615" w:y="2239"/>
      <w:pBdr>
        <w:top w:val="single" w:sz="4" w:space="2" w:color="auto"/>
      </w:pBdr>
      <w:ind w:firstLine="288"/>
    </w:pPr>
    <w:rPr>
      <w:rFonts w:eastAsia="SimSu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59"/>
    <w:rsid w:val="006F1A8E"/>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F1A8E"/>
    <w:pPr>
      <w:spacing w:after="0"/>
    </w:pPr>
    <w:rPr>
      <w:rFonts w:ascii="Tahoma" w:hAnsi="Tahoma" w:cs="Tahoma"/>
      <w:sz w:val="16"/>
      <w:szCs w:val="16"/>
    </w:rPr>
  </w:style>
  <w:style w:type="character" w:customStyle="1" w:styleId="BalloonTextChar">
    <w:name w:val="Balloon Text Char"/>
    <w:basedOn w:val="DefaultParagraphFont"/>
    <w:link w:val="BalloonText"/>
    <w:rsid w:val="006F1A8E"/>
    <w:rPr>
      <w:rFonts w:ascii="Tahoma" w:hAnsi="Tahoma" w:cs="Tahoma"/>
      <w:sz w:val="16"/>
      <w:szCs w:val="16"/>
    </w:rPr>
  </w:style>
  <w:style w:type="character" w:styleId="PlaceholderText">
    <w:name w:val="Placeholder Text"/>
    <w:basedOn w:val="DefaultParagraphFont"/>
    <w:uiPriority w:val="99"/>
    <w:semiHidden/>
    <w:rsid w:val="004C23E2"/>
    <w:rPr>
      <w:color w:val="808080"/>
    </w:rPr>
  </w:style>
  <w:style w:type="paragraph" w:styleId="ListParagraph">
    <w:name w:val="List Paragraph"/>
    <w:basedOn w:val="Normal"/>
    <w:uiPriority w:val="34"/>
    <w:qFormat/>
    <w:rsid w:val="00D65C34"/>
    <w:pPr>
      <w:ind w:left="720"/>
      <w:contextualSpacing/>
    </w:pPr>
  </w:style>
  <w:style w:type="character" w:styleId="Emphasis">
    <w:name w:val="Emphasis"/>
    <w:basedOn w:val="DefaultParagraphFont"/>
    <w:uiPriority w:val="20"/>
    <w:qFormat/>
    <w:rsid w:val="00315F3F"/>
    <w:rPr>
      <w:i/>
      <w:iCs/>
    </w:rPr>
  </w:style>
  <w:style w:type="paragraph" w:customStyle="1" w:styleId="sponsors">
    <w:name w:val="sponsors"/>
    <w:rsid w:val="009B697A"/>
    <w:pPr>
      <w:framePr w:wrap="auto" w:hAnchor="text" w:x="615" w:y="2239"/>
      <w:pBdr>
        <w:top w:val="single" w:sz="4" w:space="2" w:color="auto"/>
      </w:pBdr>
      <w:ind w:firstLine="288"/>
    </w:pPr>
    <w:rPr>
      <w:rFonts w:eastAsia="SimSu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4.tif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image" Target="media/image23.tif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tiff"/><Relationship Id="rId32" Type="http://schemas.openxmlformats.org/officeDocument/2006/relationships/image" Target="media/image22.tif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tiff"/><Relationship Id="rId28" Type="http://schemas.openxmlformats.org/officeDocument/2006/relationships/image" Target="media/image18.png"/><Relationship Id="rId36" Type="http://schemas.openxmlformats.org/officeDocument/2006/relationships/hyperlink" Target="http://www.eas.asu.edu/~ptm" TargetMode="Externa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1.tif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1.bin"/><Relationship Id="rId27" Type="http://schemas.openxmlformats.org/officeDocument/2006/relationships/image" Target="media/image17.emf"/><Relationship Id="rId30" Type="http://schemas.openxmlformats.org/officeDocument/2006/relationships/image" Target="media/image20.tiff"/><Relationship Id="rId35" Type="http://schemas.openxmlformats.org/officeDocument/2006/relationships/image" Target="media/image2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7E768-04BF-4C03-BA39-39729CE83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18913</TotalTime>
  <Pages>7</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26460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Hamid Mahmoodi</cp:lastModifiedBy>
  <cp:revision>60</cp:revision>
  <cp:lastPrinted>2016-02-28T01:20:00Z</cp:lastPrinted>
  <dcterms:created xsi:type="dcterms:W3CDTF">2015-12-12T02:42:00Z</dcterms:created>
  <dcterms:modified xsi:type="dcterms:W3CDTF">2016-05-24T04:02:00Z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