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28"/>
          <w:szCs w:val="28"/>
        </w:rPr>
        <w:t xml:space="preserve">NOTA DE ANÁLISIS — TASK-007</w:t>
      </w:r>
    </w:p>
    <w:p>
      <w:pPr>
        <w:spacing w:after="100"/>
        <w:jc w:val="center"/>
      </w:pPr>
      <w:r>
        <w:rPr>
          <w:rFonts w:ascii="Times New Roman" w:cs="Times New Roman" w:eastAsia="Times New Roman" w:hAnsi="Times New Roman"/>
          <w:b/>
          <w:bCs/>
          <w:sz w:val="26"/>
          <w:szCs w:val="26"/>
        </w:rPr>
        <w:t xml:space="preserve">TRUMP AMERICA AI Act: Mapeo de provisiones contra el RIA y el NIST AI RMF</w:t>
      </w:r>
    </w:p>
    <w:p>
      <w:pPr>
        <w:spacing w:after="300"/>
        <w:jc w:val="center"/>
      </w:pPr>
      <w:r>
        <w:rPr>
          <w:rFonts w:ascii="Times New Roman" w:cs="Times New Roman" w:eastAsia="Times New Roman" w:hAnsi="Times New Roman"/>
          <w:i/>
          <w:iCs/>
          <w:color w:val="666666"/>
          <w:sz w:val="22"/>
          <w:szCs w:val="22"/>
        </w:rPr>
        <w:t xml:space="preserve">Documento de trabajo interno — 19 de marzo de 2026</w:t>
      </w:r>
    </w:p>
    <w:p>
      <w:pPr>
        <w:pStyle w:val="Heading1"/>
        <w:spacing w:before="300" w:after="200"/>
      </w:pPr>
      <w:r>
        <w:rPr>
          <w:rFonts w:ascii="Times New Roman" w:cs="Times New Roman" w:eastAsia="Times New Roman" w:hAnsi="Times New Roman"/>
          <w:b/>
          <w:bCs/>
          <w:sz w:val="28"/>
          <w:szCs w:val="28"/>
        </w:rPr>
        <w:t xml:space="preserve">1. Contexto y alcance del análisis</w:t>
      </w:r>
    </w:p>
    <w:p>
      <w:pPr>
        <w:spacing w:after="200" w:line="360"/>
        <w:jc w:val="both"/>
      </w:pPr>
      <w:r>
        <w:rPr>
          <w:rFonts w:ascii="Times New Roman" w:cs="Times New Roman" w:eastAsia="Times New Roman" w:hAnsi="Times New Roman"/>
          <w:sz w:val="24"/>
          <w:szCs w:val="24"/>
        </w:rPr>
        <w:t xml:space="preserve">El 19 de marzo de 2026, la senadora Marsha Blackburn (R-Tenn.) publicó el discussion draft del TRUMP AMERICA AI Act — «The Republic Unifying Meritocratic Performance Advancing Machine Intelligence by Eliminating Regulatory Interstate Chaos Across American Industry Act» —, un proyecto legislativo de aproximadamente 300 páginas que constituye el intento más ambicioso hasta la fecha de establecer un marco federal unificado de gobernanza de IA en Estados Unidos. El proyecto busca codificar la orden ejecutiva del presidente Trump del 11 de diciembre de 2025 (EO 14365) sobre preemption de leyes estatales de IA.</w:t>
      </w:r>
    </w:p>
    <w:p>
      <w:pPr>
        <w:spacing w:after="200" w:line="360"/>
        <w:jc w:val="both"/>
      </w:pPr>
      <w:r>
        <w:rPr>
          <w:rFonts w:ascii="Times New Roman" w:cs="Times New Roman" w:eastAsia="Times New Roman" w:hAnsi="Times New Roman"/>
          <w:sz w:val="24"/>
          <w:szCs w:val="24"/>
        </w:rPr>
        <w:t xml:space="preserve">Este análisis evalúa las provisiones del draft en relación con dos marcos: (1) los requisitos del Reglamento de Inteligencia Artificial (RIA) para sistemas de alto riesgo, particularmente los artículos 9 a 15, y (2) las funciones y subcategorías del NIST AI Risk Management Framework (AI RMF 1.0). El objetivo es determinar si la aprobación de esta legislación alteraría la pregunta central de la tesis — pasando de un análisis de interoperabilidad entre un marco vinculante (RIA) y uno voluntario (NIST AI RMF) a una comparación entre dos marcos vinculantes.</w:t>
      </w:r>
    </w:p>
    <w:p>
      <w:pPr>
        <w:spacing w:after="200" w:line="360"/>
        <w:jc w:val="both"/>
      </w:pPr>
      <w:r>
        <w:rPr>
          <w:rFonts w:ascii="Times New Roman" w:cs="Times New Roman" w:eastAsia="Times New Roman" w:hAnsi="Times New Roman"/>
          <w:sz w:val="24"/>
          <w:szCs w:val="24"/>
        </w:rPr>
        <w:t xml:space="preserve">El análisis se basa en el resumen sección por sección publicado por la oficina de la senadora Blackburn y en el análisis jurídico detallado de Jones Walker LLP (Loring y Ryan, enero 2026). El texto legislativo completo no ha sido analizado línea por línea en esta nota; se recomienda un análisis de texto completo como siguiente paso.</w:t>
      </w:r>
    </w:p>
    <w:p>
      <w:pPr>
        <w:pStyle w:val="Heading1"/>
        <w:spacing w:before="300" w:after="200"/>
      </w:pPr>
      <w:r>
        <w:rPr>
          <w:rFonts w:ascii="Times New Roman" w:cs="Times New Roman" w:eastAsia="Times New Roman" w:hAnsi="Times New Roman"/>
          <w:b/>
          <w:bCs/>
          <w:sz w:val="28"/>
          <w:szCs w:val="28"/>
        </w:rPr>
        <w:t xml:space="preserve">2. Hallazgos principales</w:t>
      </w:r>
    </w:p>
    <w:p>
      <w:pPr>
        <w:pStyle w:val="Heading2"/>
        <w:spacing w:before="300" w:after="200"/>
      </w:pPr>
      <w:r>
        <w:rPr>
          <w:rFonts w:ascii="Times New Roman" w:cs="Times New Roman" w:eastAsia="Times New Roman" w:hAnsi="Times New Roman"/>
          <w:b/>
          <w:bCs/>
          <w:sz w:val="26"/>
          <w:szCs w:val="26"/>
        </w:rPr>
        <w:t xml:space="preserve">2.1. Estructura regulatoria: densidad vs. retórica</w:t>
      </w:r>
    </w:p>
    <w:p>
      <w:pPr>
        <w:spacing w:after="200" w:line="360"/>
        <w:jc w:val="both"/>
      </w:pPr>
      <w:r>
        <w:rPr>
          <w:rFonts w:ascii="Times New Roman" w:cs="Times New Roman" w:eastAsia="Times New Roman" w:hAnsi="Times New Roman"/>
          <w:sz w:val="24"/>
          <w:szCs w:val="24"/>
        </w:rPr>
        <w:t xml:space="preserve">La característica más relevante del proyecto para la tesis es la brecha entre su propósito declarado (desregulación, «minimally burdensome national standard») y su densidad regulatoria real. El bill establece: (a) un duty of care obligatorio con potestad reglamentaria de la FTC; (b) múltiples teorías de responsabilidad superpuestas (federal AG, state AGs, acción privada); (c) participación obligatoria en el DOE Evaluation Program para sistemas de frontera; (d) auditorías de sesgo periódicas para sistemas de alto riesgo; (e) requisitos detallados de transparencia (Training Data Use Records, Inference Data Use Records); y (f) obligaciones de diseño de plataformas para prevenir daños a la salud mental.</w:t>
      </w:r>
    </w:p>
    <w:p>
      <w:pPr>
        <w:spacing w:after="200" w:line="360"/>
        <w:jc w:val="both"/>
      </w:pPr>
      <w:r>
        <w:rPr>
          <w:rFonts w:ascii="Times New Roman" w:cs="Times New Roman" w:eastAsia="Times New Roman" w:hAnsi="Times New Roman"/>
          <w:sz w:val="24"/>
          <w:szCs w:val="24"/>
        </w:rPr>
        <w:t xml:space="preserve">Esta densidad regulatoria significa que, en la práctica, el TRUMP AMERICA AI Act no elimina cargas de cumplimiento sino que las redirige de múltiples regímenes estatales a un único régimen federal igualmente — o más — exigente.</w:t>
      </w:r>
    </w:p>
    <w:p>
      <w:pPr>
        <w:pStyle w:val="Heading2"/>
        <w:spacing w:before="300" w:after="200"/>
      </w:pPr>
      <w:r>
        <w:rPr>
          <w:rFonts w:ascii="Times New Roman" w:cs="Times New Roman" w:eastAsia="Times New Roman" w:hAnsi="Times New Roman"/>
          <w:b/>
          <w:bCs/>
          <w:sz w:val="26"/>
          <w:szCs w:val="26"/>
        </w:rPr>
        <w:t xml:space="preserve">2.2. Rol del NIST: de voluntario a legislativamente mandatado</w:t>
      </w:r>
    </w:p>
    <w:p>
      <w:pPr>
        <w:spacing w:after="200" w:line="360"/>
        <w:jc w:val="both"/>
      </w:pPr>
      <w:r>
        <w:rPr>
          <w:rFonts w:ascii="Times New Roman" w:cs="Times New Roman" w:eastAsia="Times New Roman" w:hAnsi="Times New Roman"/>
          <w:sz w:val="24"/>
          <w:szCs w:val="24"/>
        </w:rPr>
        <w:t xml:space="preserve">El proyecto asigna al NIST — específicamente al Center for AI Standards and Innovation (CAISI) — funciones explícitas en la ley: desarrollo de estándares de proveniencia de contenido y watermarking, medidas de ciberseguridad para prevenir manipulación de marcas de autenticidad, y coordinación con el sector privado y agencias federales. Además, incorpora el CREATE AI Act (NAIRR) que establece testbeds de IA coordinados por NIST para evaluar desarrollos algorítmicos.</w:t>
      </w:r>
    </w:p>
    <w:p>
      <w:pPr>
        <w:spacing w:after="200" w:line="360"/>
        <w:jc w:val="both"/>
      </w:pPr>
      <w:r>
        <w:rPr>
          <w:rFonts w:ascii="Times New Roman" w:cs="Times New Roman" w:eastAsia="Times New Roman" w:hAnsi="Times New Roman"/>
          <w:sz w:val="24"/>
          <w:szCs w:val="24"/>
        </w:rPr>
        <w:t xml:space="preserve">Esta autorización legislativa de CAISI/NIST es cualitativamente distinta de la situación actual donde NIST opera como organismo de estándares voluntarios. Si el bill se aprobara, NIST pasaría a tener un mandato legal comparable al de la AI Office europea en el ámbito de estándares — fortaleciendo el argumento de equivalencia funcional que es central a la tesis.</w:t>
      </w:r>
    </w:p>
    <w:p>
      <w:pPr>
        <w:pStyle w:val="Heading2"/>
        <w:spacing w:before="300" w:after="200"/>
      </w:pPr>
      <w:r>
        <w:rPr>
          <w:rFonts w:ascii="Times New Roman" w:cs="Times New Roman" w:eastAsia="Times New Roman" w:hAnsi="Times New Roman"/>
          <w:b/>
          <w:bCs/>
          <w:sz w:val="26"/>
          <w:szCs w:val="26"/>
        </w:rPr>
        <w:t xml:space="preserve">2.3. Sistemas de alto riesgo: clasificación y obligaciones</w:t>
      </w:r>
    </w:p>
    <w:p>
      <w:pPr>
        <w:spacing w:after="200" w:line="360"/>
        <w:jc w:val="both"/>
      </w:pPr>
      <w:r>
        <w:rPr>
          <w:rFonts w:ascii="Times New Roman" w:cs="Times New Roman" w:eastAsia="Times New Roman" w:hAnsi="Times New Roman"/>
          <w:sz w:val="24"/>
          <w:szCs w:val="24"/>
        </w:rPr>
        <w:t xml:space="preserve">El bill define «high-risk AI systems» como aquellos que afectan salud, seguridad, educación, empleo, aplicación de la ley (law enforcement) o infraestructura crítica. Esta categorización es funcionalmente análoga al Anexo III del RIA, que clasifica como alto riesgo los sistemas en: identificación biométrica, infraestructura crítica, educación, empleo, servicios esenciales, law enforcement, migración y administración de justicia.</w:t>
      </w:r>
    </w:p>
    <w:p>
      <w:pPr>
        <w:spacing w:after="200" w:line="360"/>
        <w:jc w:val="both"/>
      </w:pPr>
      <w:r>
        <w:rPr>
          <w:rFonts w:ascii="Times New Roman" w:cs="Times New Roman" w:eastAsia="Times New Roman" w:hAnsi="Times New Roman"/>
          <w:sz w:val="24"/>
          <w:szCs w:val="24"/>
        </w:rPr>
        <w:t xml:space="preserve">La correspondencia no es perfecta: el bill añade «political affiliation» como categoría protegida para auditorías de sesgo (sin equivalente en el RIA), y no incluye explícitamente migración o administración de justicia como categorías de alto riesgo. Sin embargo, la cobertura de law enforcement y el enfoque en fairness/bias conectan directamente con el caso de estudio del DOJ.</w:t>
      </w:r>
    </w:p>
    <w:p>
      <w:pPr>
        <w:pStyle w:val="Heading2"/>
        <w:spacing w:before="300" w:after="200"/>
      </w:pPr>
      <w:r>
        <w:rPr>
          <w:rFonts w:ascii="Times New Roman" w:cs="Times New Roman" w:eastAsia="Times New Roman" w:hAnsi="Times New Roman"/>
          <w:b/>
          <w:bCs/>
          <w:sz w:val="26"/>
          <w:szCs w:val="26"/>
        </w:rPr>
        <w:t xml:space="preserve">2.4. Preemption federal: alcance y limitaciones</w:t>
      </w:r>
    </w:p>
    <w:p>
      <w:pPr>
        <w:spacing w:after="200" w:line="360"/>
        <w:jc w:val="both"/>
      </w:pPr>
      <w:r>
        <w:rPr>
          <w:rFonts w:ascii="Times New Roman" w:cs="Times New Roman" w:eastAsia="Times New Roman" w:hAnsi="Times New Roman"/>
          <w:sz w:val="24"/>
          <w:szCs w:val="24"/>
        </w:rPr>
        <w:t xml:space="preserve">La preemption es parcial, no total: preempt leyes estatales sobre gestión de riesgo catastrófico de IA de frontera y «largely» preempt leyes sobre réplicas digitales, pero expresamente no preempt derecho generalmente aplicable, common law o regulación sectorial. Esto significa que la Colorado AI Act — cuya defensa afirmativa por cumplimiento con NIST AI RMF es directamente relevante para la tesis — podría sobrevivir en sus aspectos de derecho generalmente aplicable (consumer protection) incluso bajo preemption federal.</w:t>
      </w:r>
    </w:p>
    <w:p>
      <w:pPr>
        <w:spacing w:after="200" w:line="360"/>
        <w:jc w:val="both"/>
      </w:pPr>
      <w:r>
        <w:rPr>
          <w:rFonts w:ascii="Times New Roman" w:cs="Times New Roman" w:eastAsia="Times New Roman" w:hAnsi="Times New Roman"/>
          <w:sz w:val="24"/>
          <w:szCs w:val="24"/>
        </w:rPr>
        <w:t xml:space="preserve">La resistencia estatal es bipartidista: gobernadores DeSantis (Florida) y Newsom (California) se han opuesto a la preemption. Litigio bajo la Commerce Clause es previsible si el bill se aprueba.</w:t>
      </w:r>
    </w:p>
    <w:p>
      <w:pPr>
        <w:pStyle w:val="Heading1"/>
        <w:spacing w:before="300" w:after="200"/>
      </w:pPr>
      <w:r>
        <w:rPr>
          <w:rFonts w:ascii="Times New Roman" w:cs="Times New Roman" w:eastAsia="Times New Roman" w:hAnsi="Times New Roman"/>
          <w:b/>
          <w:bCs/>
          <w:sz w:val="28"/>
          <w:szCs w:val="28"/>
        </w:rPr>
        <w:t xml:space="preserve">3. Matriz de correspondencia: TRUMP AMERICA AI Act ↔ RIA ↔ NIST AI RMF</w:t>
      </w:r>
    </w:p>
    <w:p>
      <w:pPr>
        <w:spacing w:after="100" w:line="360"/>
        <w:jc w:val="both"/>
      </w:pPr>
      <w:r>
        <w:rPr>
          <w:rFonts w:ascii="Times New Roman" w:cs="Times New Roman" w:eastAsia="Times New Roman" w:hAnsi="Times New Roman"/>
          <w:sz w:val="24"/>
          <w:szCs w:val="24"/>
        </w:rPr>
        <w:t xml:space="preserve">La siguiente matriz mapea las provisiones principales del discussion draft contra los artículos correspondientes del RIA y las funciones/subcategorías del NIST AI RMF, clasificando cada correspondencia según las categorías establecidas en la metodología de la tesis.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200"/>
        <w:gridCol w:w="2000"/>
        <w:gridCol w:w="1400"/>
        <w:gridCol w:w="4800"/>
      </w:tblGrid>
      <w:tr>
        <w:trPr>
          <w:tblHeader/>
        </w:trPr>
        <w:tc>
          <w:tcPr>
            <w:tcW w:type="dxa" w:w="2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Provisión TRUMP AI Act</w:t>
            </w:r>
          </w:p>
        </w:tc>
        <w:tc>
          <w:tcPr>
            <w:tcW w:type="dxa" w:w="1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Enforcement</w:t>
            </w:r>
          </w:p>
        </w:tc>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Art. RIA</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NIST AI RMF</w:t>
            </w:r>
          </w:p>
        </w:tc>
        <w:tc>
          <w:tcPr>
            <w:tcW w:type="dxa" w:w="1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Tipo</w:t>
            </w:r>
          </w:p>
        </w:tc>
        <w:tc>
          <w:tcPr>
            <w:tcW w:type="dxa" w:w="4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Notas para la tesis</w:t>
            </w:r>
          </w:p>
        </w:tc>
      </w:tr>
      <w:tr>
        <w:tc>
          <w:tcPr>
            <w:tcW w:type="dxa" w:w="2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Duty of Care — AI developers must 'prevent and mitigate foreseeable harm to users'</w:t>
            </w:r>
          </w:p>
        </w:tc>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FTC rulemaking + AG + private plaintiffs</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Art. 9 — Sistema de gestión de riesgos</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MAP 1.1–1.6, GOVERN 1.1–1.7</w:t>
            </w:r>
          </w:p>
        </w:tc>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Coincidencia sustancial</w:t>
            </w:r>
          </w:p>
        </w:tc>
        <w:tc>
          <w:tcPr>
            <w:tcW w:type="dxa" w:w="4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Art. 9 exige sistema de gestión de riesgos durante todo el ciclo de vida; el duty of care es más general pero cubre la misma función. NIST MAP ya operacionaliza esta evaluación.</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Risk Assessments — mandatory for algorithmic systems, engagement mechanics, data practices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FTC oversight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Art. 9(2) — Evaluación y gestión de riesgos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MAP 2.1–2.3, MEASURE 1.1–1.3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Coincidencia</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Art. 9(2) exige identificar y analizar riesgos conocidos y previsibles. Los risk assessments del bill cubren la misma necesidad funcional. NIST MEASURE proporciona métricas.</w:t>
            </w:r>
          </w:p>
        </w:tc>
      </w:tr>
      <w:tr>
        <w:tc>
          <w:tcPr>
            <w:tcW w:type="dxa" w:w="2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DOE Advanced AI Evaluation Program — frontier AI evaluation, adverse incident data collection</w:t>
            </w:r>
          </w:p>
        </w:tc>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DOE mandatory participation</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Art. 15 — Exactitud, solidez y ciberseguridad
Art. 9(7) — Pruebas y validación</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MEASURE 2.1–2.13, MANAGE 3.1–3.2</w:t>
            </w:r>
          </w:p>
        </w:tc>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Complemento</w:t>
            </w:r>
          </w:p>
        </w:tc>
        <w:tc>
          <w:tcPr>
            <w:tcW w:type="dxa" w:w="4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 existe equivalente directo en RIA. El DOE Evaluation Program es una función federal centralizada de testing que complementa las obligaciones de auto-evaluación del Art. 15. NIST MEASURE cubre métricas de testing.</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Bias Audits — third-party audits for high-risk systems (health, safety, education, employment, law enforcement, critical infrastructure)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FTC + third-party auditors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Art. 10 — Datos y gobernanza de datos
Art. 9(2)(a) — Riesgos de sesgo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MAP 2.3, MEASURE 2.6–2.11, GOVERN 1.5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Coincidencia parcial</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Art. 10 aborda gobernanza de datos y sesgos en datos de entrenamiento. Bias audits van más allá al exigir evaluación de terceros (conformity assessment análogo). Incluye 'political affiliation' como categoría protegida — sin equivalente en RIA.</w:t>
            </w:r>
          </w:p>
        </w:tc>
      </w:tr>
      <w:tr>
        <w:tc>
          <w:tcPr>
            <w:tcW w:type="dxa" w:w="2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Training Data Use Records / Inference Data Use Records — mandatory transparency</w:t>
            </w:r>
          </w:p>
        </w:tc>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Public disclosure + litigation discovery</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Art. 11 — Documentación técnica
Art. 12 — Conservación de registros</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GOVERN 4.1–4.3, MAP 3.4–3.5</w:t>
            </w:r>
          </w:p>
        </w:tc>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Coincidencia sustancial</w:t>
            </w:r>
          </w:p>
        </w:tc>
        <w:tc>
          <w:tcPr>
            <w:tcW w:type="dxa" w:w="4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Art. 11 exige documentación técnica detallada; Art. 12 exige registros automáticos (logs). Los records del bill son más específicos (training data + inference data) pero cubren la misma función de trazabilidad. NIST GOVERN 4 ya documenta esta práctica.</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Content Provenance / Watermarking — NIST standards, tamper-proof marking, synthetic content detection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FTC + state AGs + NIST standard-setting</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Art. 50 — Obligaciones de transparencia (contenido generado por IA)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MAP 1.5, GOVERN 1.2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Coincidencia</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Art. 50 exige marcado de contenido generado por IA. El bill asigna a NIST el desarrollo de estándares específicos, creando un canal directo para interoperabilidad estándar-regulación.</w:t>
            </w:r>
          </w:p>
        </w:tc>
      </w:tr>
      <w:tr>
        <w:tc>
          <w:tcPr>
            <w:tcW w:type="dxa" w:w="2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Human Oversight — 'reasonable care' in feature design, parental tools, algorithm opt-out</w:t>
            </w:r>
          </w:p>
        </w:tc>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FTC + private action</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Art. 14 — Supervisión humana</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GOVERN 1.3–1.4, MANAGE 4.1–4.2</w:t>
            </w:r>
          </w:p>
        </w:tc>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Complemento</w:t>
            </w:r>
          </w:p>
        </w:tc>
        <w:tc>
          <w:tcPr>
            <w:tcW w:type="dxa" w:w="4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Art. 14 exige supervisión humana proporcional al riesgo. El bill se enfoca en plataformas/menores (KOSA), no en supervisión humana general de sistemas de alto riesgo. Cobertura parcial con enfoque diferente.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Federal Preemption — preempts state laws on frontier AI catastrophic risk + digital replicas; preserves generally applicable law</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Federal courts (Commerce Clause)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Art. 2 — Ámbito de aplicación (armonización UE)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N/A (marco voluntario)</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Diferencia estructural</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La preemption parcial contrasta con la armonización total del RIA en el mercado interior. NIST permanece voluntario salvo referencia legislativa (Colorado AI Act affirmative defense). Tensión federalismo vs. armonización.</w:t>
            </w:r>
          </w:p>
        </w:tc>
      </w:tr>
      <w:tr>
        <w:tc>
          <w:tcPr>
            <w:tcW w:type="dxa" w:w="2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Expanded Liability — defective design, failure to warn, express warranty, unreasonably dangerous products</w:t>
            </w:r>
          </w:p>
        </w:tc>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Federal AG + state AGs + private plaintiffs</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Art. 82 — Derecho a recurso
Directiva de responsabilidad por IA (propuesta)</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N/A</w:t>
            </w:r>
          </w:p>
        </w:tc>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Diferencia</w:t>
            </w:r>
          </w:p>
        </w:tc>
        <w:tc>
          <w:tcPr>
            <w:tcW w:type="dxa" w:w="4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El RIA no crea causa de acción privada directa; la propuesta de Directiva de responsabilidad por IA la complementaría. El bill establece múltiples vías de litigación simultáneas, más agresivo que el modelo UE.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CAISI Authorization — authorizes Center for AI Standards and Innovation at NIST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Congressional authorization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Art. 64 — Oficina de IA (AI Office)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Institutional: CAISI/NIST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Equivalencia funcional</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CAISI y la AI Office cumplen funciones análogas: desarrollo de estándares, coordinación con sector privado, evaluación. La autorización legislativa de CAISI fortalece el argumento de que NIST es el equivalente institucional de la AI Office para estándares.</w:t>
            </w:r>
          </w:p>
        </w:tc>
      </w:tr>
    </w:tbl>
    <w:p>
      <w:pPr>
        <w:spacing w:before="300"/>
      </w:pPr>
    </w:p>
    <w:p>
      <w:pPr>
        <w:pStyle w:val="Heading1"/>
        <w:spacing w:before="300" w:after="200"/>
      </w:pPr>
      <w:r>
        <w:rPr>
          <w:rFonts w:ascii="Times New Roman" w:cs="Times New Roman" w:eastAsia="Times New Roman" w:hAnsi="Times New Roman"/>
          <w:b/>
          <w:bCs/>
          <w:sz w:val="28"/>
          <w:szCs w:val="28"/>
        </w:rPr>
        <w:t xml:space="preserve">4. Implicaciones para la tesis</w:t>
      </w:r>
    </w:p>
    <w:p>
      <w:pPr>
        <w:pStyle w:val="Heading2"/>
        <w:spacing w:before="300" w:after="200"/>
      </w:pPr>
      <w:r>
        <w:rPr>
          <w:rFonts w:ascii="Times New Roman" w:cs="Times New Roman" w:eastAsia="Times New Roman" w:hAnsi="Times New Roman"/>
          <w:b/>
          <w:bCs/>
          <w:sz w:val="26"/>
          <w:szCs w:val="26"/>
        </w:rPr>
        <w:t xml:space="preserve">4.1. Escenario 1: El bill no se aprueba (más probable a corto plazo)</w:t>
      </w:r>
    </w:p>
    <w:p>
      <w:pPr>
        <w:spacing w:after="200" w:line="360"/>
        <w:jc w:val="both"/>
      </w:pPr>
      <w:r>
        <w:rPr>
          <w:rFonts w:ascii="Times New Roman" w:cs="Times New Roman" w:eastAsia="Times New Roman" w:hAnsi="Times New Roman"/>
          <w:sz w:val="24"/>
          <w:szCs w:val="24"/>
        </w:rPr>
        <w:t xml:space="preserve">La tesis no requiere modificación sustancial. El TRUMP AMERICA AI Act se documenta como el desarrollo legislativo más significativo del período de investigación en el ámbito estadounidense, se añade al capítulo de contexto regulatorio, y se analiza como evidencia de la dirección hacia la que se mueve la política federal — particularmente el mandato legislativo de NIST/CAISI. El análisis principal (NIST AI RMF voluntario vs. RIA vinculante) se mantiene intacto.</w:t>
      </w:r>
    </w:p>
    <w:p>
      <w:pPr>
        <w:pStyle w:val="Heading2"/>
        <w:spacing w:before="300" w:after="200"/>
      </w:pPr>
      <w:r>
        <w:rPr>
          <w:rFonts w:ascii="Times New Roman" w:cs="Times New Roman" w:eastAsia="Times New Roman" w:hAnsi="Times New Roman"/>
          <w:b/>
          <w:bCs/>
          <w:sz w:val="26"/>
          <w:szCs w:val="26"/>
        </w:rPr>
        <w:t xml:space="preserve">4.2. Escenario 2: Se aprueba legislación federal de IA (cualquier versión)</w:t>
      </w:r>
    </w:p>
    <w:p>
      <w:pPr>
        <w:spacing w:after="200" w:line="360"/>
        <w:jc w:val="both"/>
      </w:pPr>
      <w:r>
        <w:rPr>
          <w:rFonts w:ascii="Times New Roman" w:cs="Times New Roman" w:eastAsia="Times New Roman" w:hAnsi="Times New Roman"/>
          <w:sz w:val="24"/>
          <w:szCs w:val="24"/>
        </w:rPr>
        <w:t xml:space="preserve">La tesis necesitaría un capítulo adicional o una sección de prospectiva que aborde la transformación del panorama regulatorio. La pregunta central evolucionaría: ya no se preguntaría si un marco voluntario puede acreditar cumplimiento de uno vinculante, sino cómo interactúan dos marcos vinculantes que comparten al NIST como pieza institucional común. Este escenario enriquece la tesis — no la invalida — porque la matriz de correspondencia y el protocolo de documentación seguirían siendo instrumentos válidos para evaluar interoperabilidad.</w:t>
      </w:r>
    </w:p>
    <w:p>
      <w:pPr>
        <w:pStyle w:val="Heading2"/>
        <w:spacing w:before="300" w:after="200"/>
      </w:pPr>
      <w:r>
        <w:rPr>
          <w:rFonts w:ascii="Times New Roman" w:cs="Times New Roman" w:eastAsia="Times New Roman" w:hAnsi="Times New Roman"/>
          <w:b/>
          <w:bCs/>
          <w:sz w:val="26"/>
          <w:szCs w:val="26"/>
        </w:rPr>
        <w:t xml:space="preserve">4.3. Elementos a monitorear</w:t>
      </w:r>
    </w:p>
    <w:p>
      <w:pPr>
        <w:spacing w:after="200" w:line="360"/>
        <w:jc w:val="both"/>
      </w:pPr>
      <w:r>
        <w:rPr>
          <w:rFonts w:ascii="Times New Roman" w:cs="Times New Roman" w:eastAsia="Times New Roman" w:hAnsi="Times New Roman"/>
          <w:sz w:val="24"/>
          <w:szCs w:val="24"/>
        </w:rPr>
        <w:t xml:space="preserve">Se identifican los siguientes elementos como prioritarios para seguimiento: (a) referral a comités (jurisdiction múltiple probable); (b) posición de la Casa Blanca (respaldo no confirmado del texto específico); (c) provisiones NIST/CAISI en el texto legislativo completo; (d) definición precisa de «high-risk AI system» y su alineación con Anexo III RIA; (e) interacción entre preemption federal y defensas afirmativas estatales (Colorado); (f) evolución de los bias audits y su comparabilidad con evaluaciones de conformidad del RIA.</w:t>
      </w:r>
    </w:p>
    <w:p>
      <w:pPr>
        <w:pStyle w:val="Heading1"/>
        <w:spacing w:before="300" w:after="200"/>
      </w:pPr>
      <w:r>
        <w:rPr>
          <w:rFonts w:ascii="Times New Roman" w:cs="Times New Roman" w:eastAsia="Times New Roman" w:hAnsi="Times New Roman"/>
          <w:b/>
          <w:bCs/>
          <w:sz w:val="28"/>
          <w:szCs w:val="28"/>
        </w:rPr>
        <w:t xml:space="preserve">5. Evaluación de riesgo para la tesis</w:t>
      </w:r>
    </w:p>
    <w:p>
      <w:pPr>
        <w:spacing w:after="200" w:line="360"/>
        <w:jc w:val="both"/>
      </w:pPr>
      <w:r>
        <w:rPr>
          <w:rFonts w:ascii="Times New Roman" w:cs="Times New Roman" w:eastAsia="Times New Roman" w:hAnsi="Times New Roman"/>
          <w:sz w:val="24"/>
          <w:szCs w:val="24"/>
        </w:rPr>
        <w:t xml:space="preserve">Probabilidad de aprobación en esta legislatura (119th Congress): BAJA a MEDIA. El bill enfrenta oposición bipartidista (tech industry + progresistas + gobernadores estatales), jurisdicción de múltiples comités, y calendario legislativo limitado por ciclo electoral. Sin embargo, elementos individuales (KOSA, NO FAKES, CAISI authorization) tienen tracción bipartidista y podrían aprobarse por separado.</w:t>
      </w:r>
    </w:p>
    <w:p>
      <w:pPr>
        <w:spacing w:after="200" w:line="360"/>
        <w:jc w:val="both"/>
      </w:pPr>
      <w:r>
        <w:rPr>
          <w:rFonts w:ascii="Times New Roman" w:cs="Times New Roman" w:eastAsia="Times New Roman" w:hAnsi="Times New Roman"/>
          <w:sz w:val="24"/>
          <w:szCs w:val="24"/>
        </w:rPr>
        <w:t xml:space="preserve">Impacto en la tesis si se aprueba: MEDIO. No invalida la investigación pero requeriría un capítulo de prospectiva. La matriz de correspondencia y el protocolo de documentación siguen siendo válidos. El caso de estudio DOJ se enriquece porque el bill cubre explícitamente law enforcement como categoría de alto riesgo.</w:t>
      </w:r>
    </w:p>
    <w:p>
      <w:pPr>
        <w:spacing w:after="200" w:line="360"/>
        <w:jc w:val="both"/>
      </w:pPr>
      <w:r>
        <w:rPr>
          <w:rFonts w:ascii="Times New Roman" w:cs="Times New Roman" w:eastAsia="Times New Roman" w:hAnsi="Times New Roman"/>
          <w:sz w:val="24"/>
          <w:szCs w:val="24"/>
        </w:rPr>
        <w:t xml:space="preserve">Acción recomendada: Documentar en el capítulo de contexto regulatorio (Capítulo 2/3). No reorientar la tesis salvo aprobación formal. Monitorear provisiones NIST/CAISI en cualquier vehículo legislativo que avance.</w:t>
      </w:r>
    </w:p>
    <w:p>
      <w:pPr>
        <w:pStyle w:val="Heading1"/>
        <w:spacing w:before="300" w:after="200"/>
      </w:pPr>
      <w:r>
        <w:rPr>
          <w:rFonts w:ascii="Times New Roman" w:cs="Times New Roman" w:eastAsia="Times New Roman" w:hAnsi="Times New Roman"/>
          <w:b/>
          <w:bCs/>
          <w:sz w:val="28"/>
          <w:szCs w:val="28"/>
        </w:rPr>
        <w:t xml:space="preserve">6. Fuentes consultadas</w:t>
      </w:r>
    </w:p>
    <w:p>
      <w:pPr>
        <w:spacing w:after="200" w:line="360"/>
        <w:jc w:val="both"/>
      </w:pPr>
      <w:r>
        <w:rPr>
          <w:rFonts w:ascii="Times New Roman" w:cs="Times New Roman" w:eastAsia="Times New Roman" w:hAnsi="Times New Roman"/>
          <w:sz w:val="24"/>
          <w:szCs w:val="24"/>
        </w:rPr>
        <w:t xml:space="preserve">Blackburn, M. (2026, 18 de marzo). Discussion Draft: TRUMP AMERICA AI Act [Comunicado de prensa]. Oficina de la Senadora Marsha Blackburn.</w:t>
      </w:r>
    </w:p>
    <w:p>
      <w:pPr>
        <w:spacing w:after="200" w:line="360"/>
        <w:jc w:val="both"/>
      </w:pPr>
      <w:r>
        <w:rPr>
          <w:rFonts w:ascii="Times New Roman" w:cs="Times New Roman" w:eastAsia="Times New Roman" w:hAnsi="Times New Roman"/>
          <w:sz w:val="24"/>
          <w:szCs w:val="24"/>
        </w:rPr>
        <w:t xml:space="preserve">Loring, J. M. y Ryan, G. H. (2026, 23 de enero). The TRUMP AMERICA AI Act: Federal Preemption Meets Comprehensive Regulation. Jones Walker LLP, AI Law and Policy Navigator.</w:t>
      </w:r>
    </w:p>
    <w:p>
      <w:pPr>
        <w:spacing w:after="200" w:line="360"/>
        <w:jc w:val="both"/>
      </w:pPr>
      <w:r>
        <w:rPr>
          <w:rFonts w:ascii="Times New Roman" w:cs="Times New Roman" w:eastAsia="Times New Roman" w:hAnsi="Times New Roman"/>
          <w:sz w:val="24"/>
          <w:szCs w:val="24"/>
        </w:rPr>
        <w:t xml:space="preserve">Roll Call (2026, 19 de marzo). AI draft bill would revamp online landscape. Mollenkamp, A.</w:t>
      </w:r>
    </w:p>
    <w:p>
      <w:pPr>
        <w:spacing w:after="200" w:line="360"/>
        <w:jc w:val="both"/>
      </w:pPr>
      <w:r>
        <w:rPr>
          <w:rFonts w:ascii="Times New Roman" w:cs="Times New Roman" w:eastAsia="Times New Roman" w:hAnsi="Times New Roman"/>
          <w:sz w:val="24"/>
          <w:szCs w:val="24"/>
        </w:rPr>
        <w:t xml:space="preserve">Bloomberg Government (2026, 19 de marzo). Draft AI Framework to Replace State Laws Released by Senate.</w:t>
      </w:r>
    </w:p>
    <w:p>
      <w:pPr>
        <w:spacing w:after="200" w:line="360"/>
        <w:jc w:val="both"/>
      </w:pPr>
      <w:r>
        <w:rPr>
          <w:rFonts w:ascii="Times New Roman" w:cs="Times New Roman" w:eastAsia="Times New Roman" w:hAnsi="Times New Roman"/>
          <w:sz w:val="24"/>
          <w:szCs w:val="24"/>
        </w:rPr>
        <w:t xml:space="preserve">Deadline Hollywood (2026, 19 de marzo). GOP Senator Unveils Draft Of Sweeping AI Legislation.</w:t>
      </w:r>
    </w:p>
    <w:sectPr>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2026-03-19T19:21:38.818Z</dcterms:created>
  <dcterms:modified xsi:type="dcterms:W3CDTF">2026-03-19T19:21:38.819Z</dcterms:modified>
</cp:coreProperties>
</file>

<file path=docProps/custom.xml><?xml version="1.0" encoding="utf-8"?>
<Properties xmlns="http://schemas.openxmlformats.org/officeDocument/2006/custom-properties" xmlns:vt="http://schemas.openxmlformats.org/officeDocument/2006/docPropsVTypes"/>
</file>