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af212a9d086a18b0c70e462d723de9af370bae"/>
      <w:r>
        <w:t xml:space="preserve">Comprehensive Legislative Analysis: TRUMP AI Act Draft</w:t>
      </w:r>
      <w:bookmarkEnd w:id="20"/>
    </w:p>
    <w:p>
      <w:pPr>
        <w:pStyle w:val="Heading2"/>
      </w:pPr>
      <w:bookmarkStart w:id="21" w:name="X93fd99b82beeafad88b95d4ad5e03f719de1a6d"/>
      <w:r>
        <w:t xml:space="preserve">EU AI Act and NIST AI RMF Interoperability</w:t>
      </w:r>
      <w:bookmarkEnd w:id="21"/>
    </w:p>
    <w:p>
      <w:r>
        <w:pict>
          <v:rect style="width:0;height:1.5pt" o:hralign="center" o:hrstd="t" o:hr="t"/>
        </w:pict>
      </w:r>
    </w:p>
    <w:p>
      <w:pPr>
        <w:pStyle w:val="Heading2"/>
      </w:pPr>
      <w:bookmarkStart w:id="22" w:name="bill-overview"/>
      <w:r>
        <w:t xml:space="preserve">1. BILL OVERVIEW</w:t>
      </w:r>
      <w:bookmarkEnd w:id="22"/>
    </w:p>
    <w:p>
      <w:pPr>
        <w:pStyle w:val="FirstParagraph"/>
      </w:pPr>
      <w:r>
        <w:rPr>
          <w:b/>
        </w:rPr>
        <w:t xml:space="preserve">Official Title:</w:t>
      </w:r>
      <w:r>
        <w:t xml:space="preserve"> </w:t>
      </w:r>
      <w:r>
        <w:t xml:space="preserve">The Republic Unifying Meritocratic Performance Advancing Machine Intelligence by Eliminating Regulatory Interstate Chaos Across American Industry Act (TRUMP AMERICA AI Act)</w:t>
      </w:r>
    </w:p>
    <w:p>
      <w:pPr>
        <w:pStyle w:val="BodyText"/>
      </w:pPr>
      <w:r>
        <w:rPr>
          <w:b/>
        </w:rPr>
        <w:t xml:space="preserve">Document Identifier:</w:t>
      </w:r>
      <w:r>
        <w:t xml:space="preserve"> </w:t>
      </w:r>
      <w:r>
        <w:t xml:space="preserve">OLL26245 KX0 (S.L.C. version)</w:t>
      </w:r>
    </w:p>
    <w:p>
      <w:pPr>
        <w:pStyle w:val="BodyText"/>
      </w:pPr>
      <w:r>
        <w:rPr>
          <w:b/>
        </w:rPr>
        <w:t xml:space="preserve">Status:</w:t>
      </w:r>
      <w:r>
        <w:t xml:space="preserve"> </w:t>
      </w:r>
      <w:r>
        <w:t xml:space="preserve">Discussion draft (legislative language prepared for consideration)</w:t>
      </w:r>
    </w:p>
    <w:p>
      <w:pPr>
        <w:pStyle w:val="BodyText"/>
      </w:pPr>
      <w:r>
        <w:rPr>
          <w:b/>
        </w:rPr>
        <w:t xml:space="preserve">Type:</w:t>
      </w:r>
      <w:r>
        <w:t xml:space="preserve"> </w:t>
      </w:r>
      <w:r>
        <w:t xml:space="preserve">Omnibus federal AI regulation bill establishing comprehensive risk-based framework for advanced AI systems</w:t>
      </w:r>
    </w:p>
    <w:p>
      <w:pPr>
        <w:pStyle w:val="BodyText"/>
      </w:pPr>
      <w:r>
        <w:rPr>
          <w:b/>
        </w:rPr>
        <w:t xml:space="preserve">Effective Date:</w:t>
      </w:r>
      <w:r>
        <w:t xml:space="preserve"> </w:t>
      </w:r>
      <w:r>
        <w:t xml:space="preserve">180 days after date of enactment (Sec. 1703)</w:t>
      </w:r>
    </w:p>
    <w:p>
      <w:pPr>
        <w:pStyle w:val="BodyText"/>
      </w:pPr>
      <w:r>
        <w:rPr>
          <w:b/>
        </w:rPr>
        <w:t xml:space="preserve">Geographic Scope:</w:t>
      </w:r>
      <w:r>
        <w:t xml:space="preserve"> </w:t>
      </w:r>
      <w:r>
        <w:t xml:space="preserve">United States federal regulation with preemption of state/sectoral AI governance (Sec. 1701)</w:t>
      </w:r>
    </w:p>
    <w:p>
      <w:pPr>
        <w:pStyle w:val="BodyText"/>
      </w:pPr>
      <w:r>
        <w:rPr>
          <w:b/>
        </w:rPr>
        <w:t xml:space="preserve">Legislative Structure:</w:t>
      </w:r>
      <w:r>
        <w:t xml:space="preserve"> </w:t>
      </w:r>
      <w:r>
        <w:t xml:space="preserve">17 Titles organized by regulatory domain (definitions, risk framework, liability, transparency, innovation support, copyright/training data, content provenance, agency use)</w:t>
      </w:r>
    </w:p>
    <w:p>
      <w:r>
        <w:pict>
          <v:rect style="width:0;height:1.5pt" o:hralign="center" o:hrstd="t" o:hr="t"/>
        </w:pict>
      </w:r>
    </w:p>
    <w:p>
      <w:pPr>
        <w:pStyle w:val="Heading2"/>
      </w:pPr>
      <w:bookmarkStart w:id="23" w:name="definitions-comparison"/>
      <w:r>
        <w:t xml:space="preserve">2. DEFINITIONS COMPARISON</w:t>
      </w:r>
      <w:bookmarkEnd w:id="23"/>
    </w:p>
    <w:p>
      <w:pPr>
        <w:pStyle w:val="Heading3"/>
      </w:pPr>
      <w:bookmarkStart w:id="24" w:name="core-ai-definitions"/>
      <w:r>
        <w:t xml:space="preserve">2.1 Core AI Definitions</w:t>
      </w:r>
      <w:bookmarkEnd w:id="24"/>
    </w:p>
    <w:p>
      <w:pPr>
        <w:pStyle w:val="Heading4"/>
      </w:pPr>
      <w:bookmarkStart w:id="25" w:name="Xd1c28ead753838bef760b6435fc7d9942a3cfbd"/>
      <w:r>
        <w:t xml:space="preserve">TRUMP AI Act Definition (Sec. 2 - Pages 1-15)</w:t>
      </w:r>
      <w:bookmarkEnd w:id="25"/>
    </w:p>
    <w:p>
      <w:pPr>
        <w:pStyle w:val="FirstParagraph"/>
      </w:pPr>
      <w:r>
        <w:t xml:space="preserve">The bill references the artificial intelligence definition from 15 U.S.C. 9401 (AIMA legislation), creating cascading definition framework through incorporation by reference rather than statutory restatement.</w:t>
      </w:r>
    </w:p>
    <w:p>
      <w:pPr>
        <w:pStyle w:val="Heading4"/>
      </w:pPr>
      <w:bookmarkStart w:id="26" w:name="Xf5069a203c2b849fb0295cc3b9bd028f2bce2de"/>
      <w:r>
        <w:t xml:space="preserve">AI Chatbot Definition (TRUMP Act - Dual Criteria)</w:t>
      </w:r>
      <w:bookmarkEnd w:id="26"/>
    </w:p>
    <w:p>
      <w:pPr>
        <w:pStyle w:val="FirstParagraph"/>
      </w:pPr>
      <w:r>
        <w:t xml:space="preserve">Statutory text (Sec. 2):</w:t>
      </w:r>
      <w:r>
        <w:t xml:space="preserve"> </w:t>
      </w:r>
      <w:r>
        <w:t xml:space="preserve">“</w:t>
      </w:r>
      <w:r>
        <w:t xml:space="preserve">AI chatbot</w:t>
      </w:r>
      <w:r>
        <w:t xml:space="preserve">”</w:t>
      </w:r>
      <w:r>
        <w:t xml:space="preserve"> </w:t>
      </w:r>
      <w:r>
        <w:t xml:space="preserve">means an AI system that:</w:t>
      </w:r>
      <w:r>
        <w:t xml:space="preserve"> </w:t>
      </w:r>
      <w:r>
        <w:t xml:space="preserve">-</w:t>
      </w:r>
      <w:r>
        <w:t xml:space="preserve"> </w:t>
      </w:r>
      <w:r>
        <w:t xml:space="preserve">“</w:t>
      </w:r>
      <w:r>
        <w:t xml:space="preserve">(1) produces new expressive content or responses not fully predetermined by the developer, or</w:t>
      </w:r>
      <w:r>
        <w:t xml:space="preserve"> </w:t>
      </w:r>
      <w:r>
        <w:t xml:space="preserve">-</w:t>
      </w:r>
      <w:r>
        <w:t xml:space="preserve">”</w:t>
      </w:r>
      <w:r>
        <w:t xml:space="preserve">(2) accepts open-ended natural-language or multimodal input from users and responds to such input"</w:t>
      </w:r>
    </w:p>
    <w:p>
      <w:pPr>
        <w:pStyle w:val="BodyText"/>
      </w:pPr>
      <w:r>
        <w:rPr>
          <w:b/>
        </w:rPr>
        <w:t xml:space="preserve">Dual-criteria structure:</w:t>
      </w:r>
      <w:r>
        <w:t xml:space="preserve"> </w:t>
      </w:r>
      <w:r>
        <w:t xml:space="preserve">Meets either production standard OR accepts open-ended input. This is broader than EU AI Act’s definition architecture, which focuses on automated decision-making systems generally.</w:t>
      </w:r>
    </w:p>
    <w:p>
      <w:pPr>
        <w:pStyle w:val="Heading4"/>
      </w:pPr>
      <w:bookmarkStart w:id="27" w:name="eu-ai-act-definition-art.-31"/>
      <w:r>
        <w:t xml:space="preserve">EU AI Act Definition (Art. 3(1))</w:t>
      </w:r>
      <w:bookmarkEnd w:id="27"/>
    </w:p>
    <w:p>
      <w:pPr>
        <w:pStyle w:val="FirstParagraph"/>
      </w:pPr>
      <w:r>
        <w:t xml:space="preserve">EU defines</w:t>
      </w:r>
      <w:r>
        <w:t xml:space="preserve"> </w:t>
      </w:r>
      <w:r>
        <w:t xml:space="preserve">“</w:t>
      </w:r>
      <w:r>
        <w:t xml:space="preserve">artificial intelligence system</w:t>
      </w:r>
      <w:r>
        <w:t xml:space="preserve">”</w:t>
      </w:r>
      <w:r>
        <w:t xml:space="preserve"> </w:t>
      </w:r>
      <w:r>
        <w:t xml:space="preserve">as</w:t>
      </w:r>
      <w:r>
        <w:t xml:space="preserve"> </w:t>
      </w:r>
      <w:r>
        <w:t xml:space="preserve">“</w:t>
      </w:r>
      <w:r>
        <w:t xml:space="preserve">a machine-based system designed to operate with varying levels of autonomy and that can, for explicitly defined objectives, generate outputs such as predictions, recommendations or decisions affecting the physical or virtual environment.</w:t>
      </w:r>
      <w:r>
        <w:t xml:space="preserve">”</w:t>
      </w:r>
    </w:p>
    <w:p>
      <w:pPr>
        <w:pStyle w:val="BodyText"/>
      </w:pPr>
      <w:r>
        <w:rPr>
          <w:b/>
        </w:rPr>
        <w:t xml:space="preserve">Comparison Point 1:</w:t>
      </w:r>
      <w:r>
        <w:t xml:space="preserve"> </w:t>
      </w:r>
      <w:r>
        <w:t xml:space="preserve">TRUMP chatbot definition is application-specific (conversational AI) while EU is foundational and capability-based. TRUMP’s dual criteria create lower evidentiary burden (either criterion triggers regulation) versus EU’s unified definition.</w:t>
      </w:r>
    </w:p>
    <w:p>
      <w:pPr>
        <w:pStyle w:val="Heading4"/>
      </w:pPr>
      <w:bookmarkStart w:id="28" w:name="nist-ai-rmf-glossary-definition"/>
      <w:r>
        <w:t xml:space="preserve">NIST AI RMF Glossary Definition</w:t>
      </w:r>
      <w:bookmarkEnd w:id="28"/>
    </w:p>
    <w:p>
      <w:pPr>
        <w:pStyle w:val="FirstParagraph"/>
      </w:pPr>
      <w:r>
        <w:t xml:space="preserve">NIST defines</w:t>
      </w:r>
      <w:r>
        <w:t xml:space="preserve"> </w:t>
      </w:r>
      <w:r>
        <w:t xml:space="preserve">“</w:t>
      </w:r>
      <w:r>
        <w:t xml:space="preserve">AI system</w:t>
      </w:r>
      <w:r>
        <w:t xml:space="preserve">”</w:t>
      </w:r>
      <w:r>
        <w:t xml:space="preserve"> </w:t>
      </w:r>
      <w:r>
        <w:t xml:space="preserve">as</w:t>
      </w:r>
      <w:r>
        <w:t xml:space="preserve"> </w:t>
      </w:r>
      <w:r>
        <w:t xml:space="preserve">“</w:t>
      </w:r>
      <w:r>
        <w:t xml:space="preserve">engineered or machine-based system that can, for a given set of human-defined objectives, make predictions, recommendations, or decisions influencing real or virtual environments.</w:t>
      </w:r>
      <w:r>
        <w:t xml:space="preserve">”</w:t>
      </w:r>
    </w:p>
    <w:p>
      <w:pPr>
        <w:pStyle w:val="BodyText"/>
      </w:pPr>
      <w:r>
        <w:rPr>
          <w:b/>
        </w:rPr>
        <w:t xml:space="preserve">Comparison Point 2:</w:t>
      </w:r>
      <w:r>
        <w:t xml:space="preserve"> </w:t>
      </w:r>
      <w:r>
        <w:t xml:space="preserve">NIST and EU definitions align closely on</w:t>
      </w:r>
      <w:r>
        <w:t xml:space="preserve"> </w:t>
      </w:r>
      <w:r>
        <w:t xml:space="preserve">“</w:t>
      </w:r>
      <w:r>
        <w:t xml:space="preserve">human-defined objectives</w:t>
      </w:r>
      <w:r>
        <w:t xml:space="preserve">”</w:t>
      </w:r>
      <w:r>
        <w:t xml:space="preserve"> </w:t>
      </w:r>
      <w:r>
        <w:t xml:space="preserve">and environmental influence. TRUMP chatbot definition diverges by focusing on content generation capacity and input modality rather than decision-making autonomy.</w:t>
      </w:r>
    </w:p>
    <w:p>
      <w:pPr>
        <w:pStyle w:val="Heading3"/>
      </w:pPr>
      <w:bookmarkStart w:id="29" w:name="X002fc56967ffa708b3e6eef46b38366281cd870"/>
      <w:r>
        <w:t xml:space="preserve">2.2 Covered Entity Threshold Definition (Sec. 2 - Pages 1-15)</w:t>
      </w:r>
      <w:bookmarkEnd w:id="29"/>
    </w:p>
    <w:p>
      <w:pPr>
        <w:pStyle w:val="FirstParagraph"/>
      </w:pPr>
      <w:r>
        <w:rPr>
          <w:b/>
        </w:rPr>
        <w:t xml:space="preserve">TRUMP Act Definition (Threshold-Based):</w:t>
      </w:r>
      <w:r>
        <w:t xml:space="preserve"> </w:t>
      </w:r>
      <w:r>
        <w:t xml:space="preserve">“</w:t>
      </w:r>
      <w:r>
        <w:t xml:space="preserve">Covered entity</w:t>
      </w:r>
      <w:r>
        <w:t xml:space="preserve">”</w:t>
      </w:r>
      <w:r>
        <w:t xml:space="preserve"> </w:t>
      </w:r>
      <w:r>
        <w:t xml:space="preserve">threshold triggered by either:</w:t>
      </w:r>
      <w:r>
        <w:t xml:space="preserve"> </w:t>
      </w:r>
      <w:r>
        <w:t xml:space="preserve">- Annual revenue ≥ $500 million USD, OR</w:t>
      </w:r>
      <w:r>
        <w:t xml:space="preserve"> </w:t>
      </w:r>
      <w:r>
        <w:t xml:space="preserve">- Data from ≥ 1 million individuals (residing in U.S. or providing data to entity)</w:t>
      </w:r>
    </w:p>
    <w:p>
      <w:pPr>
        <w:pStyle w:val="BodyText"/>
      </w:pPr>
      <w:r>
        <w:t xml:space="preserve">This creates a bifurcated regulatory jurisdiction: size-based (revenue) OR data-volume-based (individuals).</w:t>
      </w:r>
    </w:p>
    <w:p>
      <w:pPr>
        <w:pStyle w:val="BodyText"/>
      </w:pPr>
      <w:r>
        <w:rPr>
          <w:b/>
        </w:rPr>
        <w:t xml:space="preserve">EU AI Act Comparison (Art. 4):</w:t>
      </w:r>
      <w:r>
        <w:t xml:space="preserve"> </w:t>
      </w:r>
      <w:r>
        <w:t xml:space="preserve">EU defines</w:t>
      </w:r>
      <w:r>
        <w:t xml:space="preserve"> </w:t>
      </w:r>
      <w:r>
        <w:t xml:space="preserve">“</w:t>
      </w:r>
      <w:r>
        <w:t xml:space="preserve">provider</w:t>
      </w:r>
      <w:r>
        <w:t xml:space="preserve">”</w:t>
      </w:r>
      <w:r>
        <w:t xml:space="preserve"> </w:t>
      </w:r>
      <w:r>
        <w:t xml:space="preserve">and</w:t>
      </w:r>
      <w:r>
        <w:t xml:space="preserve"> </w:t>
      </w:r>
      <w:r>
        <w:t xml:space="preserve">“</w:t>
      </w:r>
      <w:r>
        <w:t xml:space="preserve">deployer</w:t>
      </w:r>
      <w:r>
        <w:t xml:space="preserve">”</w:t>
      </w:r>
      <w:r>
        <w:t xml:space="preserve"> </w:t>
      </w:r>
      <w:r>
        <w:t xml:space="preserve">without threshold requirements—all providers of AI systems in EU market have baseline obligations. EU distinguishes by risk category (prohibited/high/limited/minimal risk) rather than entity size.</w:t>
      </w:r>
    </w:p>
    <w:p>
      <w:pPr>
        <w:pStyle w:val="BodyText"/>
      </w:pPr>
      <w:r>
        <w:rPr>
          <w:b/>
        </w:rPr>
        <w:t xml:space="preserve">NIST AI RMF Comparison:</w:t>
      </w:r>
      <w:r>
        <w:t xml:space="preserve"> </w:t>
      </w:r>
      <w:r>
        <w:t xml:space="preserve">NIST provides no entity threshold; framework is principle-based for organizations of all sizes adopting AI risk management practices. Scalability is built into functional approach (Govern, Map, Measure, Manage).</w:t>
      </w:r>
    </w:p>
    <w:p>
      <w:pPr>
        <w:pStyle w:val="BodyText"/>
      </w:pPr>
      <w:r>
        <w:rPr>
          <w:b/>
        </w:rPr>
        <w:t xml:space="preserve">Key Interoperability Issue 1:</w:t>
      </w:r>
      <w:r>
        <w:t xml:space="preserve"> </w:t>
      </w:r>
      <w:r>
        <w:t xml:space="preserve">TRUMP’s covered entity threshold creates compliance fragmentation—non-covered entities may operate AI chatbots without Title VI obligations, whereas EU and NIST approaches are universal in scope. This creates regulatory arbitrage opportunity for smaller developers.</w:t>
      </w:r>
    </w:p>
    <w:p>
      <w:pPr>
        <w:pStyle w:val="Heading3"/>
      </w:pPr>
      <w:bookmarkStart w:id="30" w:name="X3ebf1bef1ed338fde8743ad9fc56f7097b79000"/>
      <w:r>
        <w:t xml:space="preserve">2.3 Advanced AI System Definition (Sec. 601-603, Title VI)</w:t>
      </w:r>
      <w:bookmarkEnd w:id="30"/>
    </w:p>
    <w:p>
      <w:pPr>
        <w:pStyle w:val="FirstParagraph"/>
      </w:pPr>
      <w:r>
        <w:rPr>
          <w:b/>
        </w:rPr>
        <w:t xml:space="preserve">TRUMP Act Definition (Risk-Based Trigger):</w:t>
      </w:r>
      <w:r>
        <w:t xml:space="preserve"> </w:t>
      </w:r>
      <w:r>
        <w:t xml:space="preserve">Based on computational training capacity and risk indicators rather than capability assessment alone:</w:t>
      </w:r>
      <w:r>
        <w:t xml:space="preserve"> </w:t>
      </w:r>
      <w:r>
        <w:t xml:space="preserve">- Training computational resources exceeding specified threshold</w:t>
      </w:r>
      <w:r>
        <w:t xml:space="preserve"> </w:t>
      </w:r>
      <w:r>
        <w:t xml:space="preserve">- Loss-of-control risk assessment indicating potential for harm</w:t>
      </w:r>
      <w:r>
        <w:t xml:space="preserve"> </w:t>
      </w:r>
      <w:r>
        <w:t xml:space="preserve">- Systemic risk indicators</w:t>
      </w:r>
    </w:p>
    <w:p>
      <w:pPr>
        <w:pStyle w:val="BodyText"/>
      </w:pPr>
      <w:r>
        <w:t xml:space="preserve">This represents departure from EU’s categorical risk classification (Annex III).</w:t>
      </w:r>
    </w:p>
    <w:p>
      <w:r>
        <w:pict>
          <v:rect style="width:0;height:1.5pt" o:hralign="center" o:hrstd="t" o:hr="t"/>
        </w:pict>
      </w:r>
    </w:p>
    <w:p>
      <w:pPr>
        <w:pStyle w:val="Heading2"/>
      </w:pPr>
      <w:bookmarkStart w:id="31" w:name="title-by-title-statutory-analysis"/>
      <w:r>
        <w:t xml:space="preserve">3. TITLE-BY-TITLE STATUTORY ANALYSIS</w:t>
      </w:r>
      <w:bookmarkEnd w:id="31"/>
    </w:p>
    <w:p>
      <w:pPr>
        <w:pStyle w:val="Heading3"/>
      </w:pPr>
      <w:bookmarkStart w:id="32" w:name="X9e87f669c340b7f953d7b4d34dd2fbfe87b71ce"/>
      <w:r>
        <w:t xml:space="preserve">3.1 TITLE VI: RISK-BASED FRAMEWORK FOR ADVANCED AI SYSTEMS (Sec. 601-603)</w:t>
      </w:r>
      <w:bookmarkEnd w:id="32"/>
    </w:p>
    <w:p>
      <w:pPr>
        <w:pStyle w:val="Heading4"/>
      </w:pPr>
      <w:bookmarkStart w:id="33" w:name="X392944381082d30c8332f9bdb5f64d8550c0324"/>
      <w:r>
        <w:t xml:space="preserve">3.1.1 Section 602: Developer Obligations for Covered Advanced AI Systems</w:t>
      </w:r>
      <w:bookmarkEnd w:id="33"/>
    </w:p>
    <w:p>
      <w:pPr>
        <w:pStyle w:val="FirstParagraph"/>
      </w:pPr>
      <w:r>
        <w:rPr>
          <w:b/>
        </w:rPr>
        <w:t xml:space="preserve">Statutory Text (Pages 100-119):</w:t>
      </w:r>
    </w:p>
    <w:p>
      <w:pPr>
        <w:pStyle w:val="BodyText"/>
      </w:pPr>
      <w:r>
        <w:rPr>
          <w:b/>
        </w:rPr>
        <w:t xml:space="preserve">Key Provision 1: Participation and Material Submission</w:t>
      </w:r>
      <w:r>
        <w:t xml:space="preserve"> </w:t>
      </w:r>
      <w:r>
        <w:t xml:space="preserve">Developers of covered advanced AI systems must:</w:t>
      </w:r>
      <w:r>
        <w:t xml:space="preserve"> </w:t>
      </w:r>
      <w:r>
        <w:t xml:space="preserve">-</w:t>
      </w:r>
      <w:r>
        <w:t xml:space="preserve"> </w:t>
      </w:r>
      <w:r>
        <w:t xml:space="preserve">“</w:t>
      </w:r>
      <w:r>
        <w:t xml:space="preserve">Participate in and provide materials, information, or assistance</w:t>
      </w:r>
      <w:r>
        <w:t xml:space="preserve">”</w:t>
      </w:r>
      <w:r>
        <w:t xml:space="preserve"> </w:t>
      </w:r>
      <w:r>
        <w:t xml:space="preserve">to standardized testing protocols</w:t>
      </w:r>
      <w:r>
        <w:t xml:space="preserve"> </w:t>
      </w:r>
      <w:r>
        <w:t xml:space="preserve">- Provide access to models for</w:t>
      </w:r>
      <w:r>
        <w:t xml:space="preserve"> </w:t>
      </w:r>
      <w:r>
        <w:t xml:space="preserve">“</w:t>
      </w:r>
      <w:r>
        <w:t xml:space="preserve">third-party assessments and blind model evaluations</w:t>
      </w:r>
      <w:r>
        <w:t xml:space="preserve">”</w:t>
      </w:r>
      <w:r>
        <w:t xml:space="preserve"> </w:t>
      </w:r>
      <w:r>
        <w:t xml:space="preserve">- Maintain</w:t>
      </w:r>
      <w:r>
        <w:t xml:space="preserve"> </w:t>
      </w:r>
      <w:r>
        <w:t xml:space="preserve">“</w:t>
      </w:r>
      <w:r>
        <w:t xml:space="preserve">computational resource monitoring</w:t>
      </w:r>
      <w:r>
        <w:t xml:space="preserve">”</w:t>
      </w:r>
      <w:r>
        <w:t xml:space="preserve"> </w:t>
      </w:r>
      <w:r>
        <w:t xml:space="preserve">and governance frameworks</w:t>
      </w:r>
      <w:r>
        <w:t xml:space="preserve"> </w:t>
      </w:r>
      <w:r>
        <w:t xml:space="preserve">- Implement</w:t>
      </w:r>
      <w:r>
        <w:t xml:space="preserve"> </w:t>
      </w:r>
      <w:r>
        <w:t xml:space="preserve">“</w:t>
      </w:r>
      <w:r>
        <w:t xml:space="preserve">containment protocols</w:t>
      </w:r>
      <w:r>
        <w:t xml:space="preserve">”</w:t>
      </w:r>
      <w:r>
        <w:t xml:space="preserve"> </w:t>
      </w:r>
      <w:r>
        <w:t xml:space="preserve">and</w:t>
      </w:r>
      <w:r>
        <w:t xml:space="preserve"> </w:t>
      </w:r>
      <w:r>
        <w:t xml:space="preserve">“</w:t>
      </w:r>
      <w:r>
        <w:t xml:space="preserve">mitigation strategies informed by testing data</w:t>
      </w:r>
      <w:r>
        <w:t xml:space="preserve">”</w:t>
      </w:r>
    </w:p>
    <w:p>
      <w:pPr>
        <w:pStyle w:val="BodyText"/>
      </w:pPr>
      <w:r>
        <w:rPr>
          <w:b/>
        </w:rPr>
        <w:t xml:space="preserve">Key Provision 2: Red-Team Adversarial Testing</w:t>
      </w:r>
      <w:r>
        <w:t xml:space="preserve"> </w:t>
      </w:r>
      <w:r>
        <w:t xml:space="preserve">Statutory requirement for:</w:t>
      </w:r>
      <w:r>
        <w:t xml:space="preserve"> </w:t>
      </w:r>
      <w:r>
        <w:t xml:space="preserve">-</w:t>
      </w:r>
      <w:r>
        <w:t xml:space="preserve"> </w:t>
      </w:r>
      <w:r>
        <w:t xml:space="preserve">“</w:t>
      </w:r>
      <w:r>
        <w:t xml:space="preserve">Adversarial testing to identify risks, flaws, vulnerabilities, harmful outputs, undesirable behaviors, and limitations</w:t>
      </w:r>
      <w:r>
        <w:t xml:space="preserve">”</w:t>
      </w:r>
      <w:r>
        <w:t xml:space="preserve"> </w:t>
      </w:r>
      <w:r>
        <w:t xml:space="preserve">- Specific reference to</w:t>
      </w:r>
      <w:r>
        <w:t xml:space="preserve"> </w:t>
      </w:r>
      <w:r>
        <w:t xml:space="preserve">“</w:t>
      </w:r>
      <w:r>
        <w:t xml:space="preserve">anticipated real-world AI jailbreaking techniques</w:t>
      </w:r>
      <w:r>
        <w:t xml:space="preserve">”</w:t>
      </w:r>
      <w:r>
        <w:t xml:space="preserve"> </w:t>
      </w:r>
      <w:r>
        <w:t xml:space="preserve">- Testing must inform</w:t>
      </w:r>
      <w:r>
        <w:t xml:space="preserve"> </w:t>
      </w:r>
      <w:r>
        <w:t xml:space="preserve">“</w:t>
      </w:r>
      <w:r>
        <w:t xml:space="preserve">mitigation strategies</w:t>
      </w:r>
      <w:r>
        <w:t xml:space="preserve">”</w:t>
      </w:r>
      <w:r>
        <w:t xml:space="preserve"> </w:t>
      </w:r>
      <w:r>
        <w:t xml:space="preserve">prior to deployment</w:t>
      </w:r>
      <w:r>
        <w:t xml:space="preserve"> </w:t>
      </w:r>
      <w:r>
        <w:t xml:space="preserve">-</w:t>
      </w:r>
      <w:r>
        <w:t xml:space="preserve"> </w:t>
      </w:r>
      <w:r>
        <w:t xml:space="preserve">“</w:t>
      </w:r>
      <w:r>
        <w:t xml:space="preserve">Formal testing reports</w:t>
      </w:r>
      <w:r>
        <w:t xml:space="preserve">”</w:t>
      </w:r>
      <w:r>
        <w:t xml:space="preserve"> </w:t>
      </w:r>
      <w:r>
        <w:t xml:space="preserve">documenting results</w:t>
      </w:r>
    </w:p>
    <w:p>
      <w:pPr>
        <w:pStyle w:val="BodyText"/>
      </w:pPr>
      <w:r>
        <w:rPr>
          <w:b/>
        </w:rPr>
        <w:t xml:space="preserve">Key Provision 3: Governance and Computational Resource Monitoring</w:t>
      </w:r>
      <w:r>
        <w:t xml:space="preserve"> </w:t>
      </w:r>
      <w:r>
        <w:t xml:space="preserve">“</w:t>
      </w:r>
      <w:r>
        <w:t xml:space="preserve">Governance frameworks</w:t>
      </w:r>
      <w:r>
        <w:t xml:space="preserve">”</w:t>
      </w:r>
      <w:r>
        <w:t xml:space="preserve"> </w:t>
      </w:r>
      <w:r>
        <w:t xml:space="preserve">for covered developers must include:</w:t>
      </w:r>
      <w:r>
        <w:t xml:space="preserve"> </w:t>
      </w:r>
      <w:r>
        <w:t xml:space="preserve">- Computational resource monitoring and thresholds</w:t>
      </w:r>
      <w:r>
        <w:t xml:space="preserve"> </w:t>
      </w:r>
      <w:r>
        <w:t xml:space="preserve">- Risk assessment protocols</w:t>
      </w:r>
      <w:r>
        <w:t xml:space="preserve"> </w:t>
      </w:r>
      <w:r>
        <w:t xml:space="preserve">- Testing and evaluation procedures</w:t>
      </w:r>
      <w:r>
        <w:t xml:space="preserve"> </w:t>
      </w:r>
      <w:r>
        <w:t xml:space="preserve">- Incident reporting mechanisms</w:t>
      </w:r>
    </w:p>
    <w:p>
      <w:pPr>
        <w:pStyle w:val="BodyText"/>
      </w:pPr>
      <w:r>
        <w:rPr>
          <w:b/>
        </w:rPr>
        <w:t xml:space="preserve">NIST AI RMF Alignment (Govern Function):</w:t>
      </w:r>
    </w:p>
    <w:p>
      <w:pPr>
        <w:pStyle w:val="BodyText"/>
      </w:pPr>
      <w:r>
        <w:t xml:space="preserve">NIST’s Govern function emphasizes</w:t>
      </w:r>
      <w:r>
        <w:t xml:space="preserve"> </w:t>
      </w:r>
      <w:r>
        <w:t xml:space="preserve">“</w:t>
      </w:r>
      <w:r>
        <w:t xml:space="preserve">establishing and implementing structures, policies, processes, and procedures to enable effective AI risk management</w:t>
      </w:r>
      <w:r>
        <w:t xml:space="preserve">”</w:t>
      </w:r>
      <w:r>
        <w:t xml:space="preserve"> </w:t>
      </w:r>
      <w:r>
        <w:t xml:space="preserve">with organizational oversight and accountability.</w:t>
      </w:r>
    </w:p>
    <w:p>
      <w:pPr>
        <w:pStyle w:val="BodyText"/>
      </w:pPr>
      <w:r>
        <w:t xml:space="preserve">TRUMP Sec. 602 maps to Govern by requiring:</w:t>
      </w:r>
      <w:r>
        <w:t xml:space="preserve"> </w:t>
      </w:r>
      <w:r>
        <w:t xml:space="preserve">1.</w:t>
      </w:r>
      <w:r>
        <w:t xml:space="preserve"> </w:t>
      </w:r>
      <w:r>
        <w:rPr>
          <w:b/>
        </w:rPr>
        <w:t xml:space="preserve">Governance frameworks</w:t>
      </w:r>
      <w:r>
        <w:t xml:space="preserve"> </w:t>
      </w:r>
      <w:r>
        <w:t xml:space="preserve">(explicit Govern requirement)</w:t>
      </w:r>
      <w:r>
        <w:t xml:space="preserve"> </w:t>
      </w:r>
      <w:r>
        <w:t xml:space="preserve">2.</w:t>
      </w:r>
      <w:r>
        <w:t xml:space="preserve"> </w:t>
      </w:r>
      <w:r>
        <w:rPr>
          <w:b/>
        </w:rPr>
        <w:t xml:space="preserve">Computational resource monitoring</w:t>
      </w:r>
      <w:r>
        <w:t xml:space="preserve"> </w:t>
      </w:r>
      <w:r>
        <w:t xml:space="preserve">(resource governance)</w:t>
      </w:r>
      <w:r>
        <w:t xml:space="preserve"> </w:t>
      </w:r>
      <w:r>
        <w:t xml:space="preserve">3.</w:t>
      </w:r>
      <w:r>
        <w:t xml:space="preserve"> </w:t>
      </w:r>
      <w:r>
        <w:rPr>
          <w:b/>
        </w:rPr>
        <w:t xml:space="preserve">Containment protocols</w:t>
      </w:r>
      <w:r>
        <w:t xml:space="preserve"> </w:t>
      </w:r>
      <w:r>
        <w:t xml:space="preserve">(risk controls)</w:t>
      </w:r>
      <w:r>
        <w:t xml:space="preserve"> </w:t>
      </w:r>
      <w:r>
        <w:t xml:space="preserve">4.</w:t>
      </w:r>
      <w:r>
        <w:t xml:space="preserve"> </w:t>
      </w:r>
      <w:r>
        <w:rPr>
          <w:b/>
        </w:rPr>
        <w:t xml:space="preserve">Third-party assessments</w:t>
      </w:r>
      <w:r>
        <w:t xml:space="preserve"> </w:t>
      </w:r>
      <w:r>
        <w:t xml:space="preserve">(accountability mechanisms)</w:t>
      </w:r>
    </w:p>
    <w:p>
      <w:pPr>
        <w:pStyle w:val="BodyText"/>
      </w:pPr>
      <w:r>
        <w:rPr>
          <w:b/>
        </w:rPr>
        <w:t xml:space="preserve">Statutory Strength:</w:t>
      </w:r>
      <w:r>
        <w:t xml:space="preserve"> </w:t>
      </w:r>
      <w:r>
        <w:t xml:space="preserve">TRUMP explicitly mandates governance infrastructure, whereas NIST positions Govern as foundational but flexible. TRUMP’s specificity increases compliance clarity but reduces organizational flexibility in implementation.</w:t>
      </w:r>
    </w:p>
    <w:p>
      <w:r>
        <w:pict>
          <v:rect style="width:0;height:1.5pt" o:hralign="center" o:hrstd="t" o:hr="t"/>
        </w:pict>
      </w:r>
    </w:p>
    <w:p>
      <w:pPr>
        <w:pStyle w:val="Heading4"/>
      </w:pPr>
      <w:bookmarkStart w:id="34" w:name="X6f7b872a1ef5e8546a98e8ec8e0ecb9d8082751"/>
      <w:r>
        <w:t xml:space="preserve">3.1.2 Section 603: Advanced Artificial Intelligence Evaluation Program</w:t>
      </w:r>
      <w:bookmarkEnd w:id="34"/>
    </w:p>
    <w:p>
      <w:pPr>
        <w:pStyle w:val="FirstParagraph"/>
      </w:pPr>
      <w:r>
        <w:rPr>
          <w:b/>
        </w:rPr>
        <w:t xml:space="preserve">Statutory Text (Pages 120-139):</w:t>
      </w:r>
    </w:p>
    <w:p>
      <w:pPr>
        <w:pStyle w:val="BodyText"/>
      </w:pPr>
      <w:r>
        <w:rPr>
          <w:b/>
        </w:rPr>
        <w:t xml:space="preserve">Program Establishment:</w:t>
      </w:r>
      <w:r>
        <w:t xml:space="preserve"> </w:t>
      </w:r>
      <w:r>
        <w:t xml:space="preserve">“</w:t>
      </w:r>
      <w:r>
        <w:t xml:space="preserve">There is hereby established within the Department of Energy the Advanced Artificial Intelligence Evaluation Program to provide standardized testing, red-team adversarial testing, classified third-party assessments, blind model evaluations, formal testing reports, containment and mitigation protocols, and evidence-based standards development.</w:t>
      </w:r>
      <w:r>
        <w:t xml:space="preserve">”</w:t>
      </w:r>
    </w:p>
    <w:p>
      <w:pPr>
        <w:pStyle w:val="BodyText"/>
      </w:pPr>
      <w:r>
        <w:rPr>
          <w:b/>
        </w:rPr>
        <w:t xml:space="preserve">Key Functions:</w:t>
      </w:r>
      <w:r>
        <w:t xml:space="preserve"> </w:t>
      </w:r>
      <w:r>
        <w:t xml:space="preserve">1.</w:t>
      </w:r>
      <w:r>
        <w:t xml:space="preserve"> </w:t>
      </w:r>
      <w:r>
        <w:rPr>
          <w:b/>
        </w:rPr>
        <w:t xml:space="preserve">Standardized Testing Protocols</w:t>
      </w:r>
      <w:r>
        <w:t xml:space="preserve"> </w:t>
      </w:r>
      <w:r>
        <w:t xml:space="preserve">- Department of Energy establishes interagency testing standards</w:t>
      </w:r>
      <w:r>
        <w:t xml:space="preserve"> </w:t>
      </w:r>
      <w:r>
        <w:t xml:space="preserve">2.</w:t>
      </w:r>
      <w:r>
        <w:t xml:space="preserve"> </w:t>
      </w:r>
      <w:r>
        <w:rPr>
          <w:b/>
        </w:rPr>
        <w:t xml:space="preserve">Red-Team Adversarial Testing</w:t>
      </w:r>
      <w:r>
        <w:t xml:space="preserve"> </w:t>
      </w:r>
      <w:r>
        <w:t xml:space="preserve">- Structured vulnerability identification</w:t>
      </w:r>
      <w:r>
        <w:t xml:space="preserve"> </w:t>
      </w:r>
      <w:r>
        <w:t xml:space="preserve">3.</w:t>
      </w:r>
      <w:r>
        <w:t xml:space="preserve"> </w:t>
      </w:r>
      <w:r>
        <w:rPr>
          <w:b/>
        </w:rPr>
        <w:t xml:space="preserve">Classified Third-Party Assessments</w:t>
      </w:r>
      <w:r>
        <w:t xml:space="preserve"> </w:t>
      </w:r>
      <w:r>
        <w:t xml:space="preserve">- National security-level evaluation capability</w:t>
      </w:r>
      <w:r>
        <w:t xml:space="preserve"> </w:t>
      </w:r>
      <w:r>
        <w:t xml:space="preserve">4.</w:t>
      </w:r>
      <w:r>
        <w:t xml:space="preserve"> </w:t>
      </w:r>
      <w:r>
        <w:rPr>
          <w:b/>
        </w:rPr>
        <w:t xml:space="preserve">Blind Model Evaluations</w:t>
      </w:r>
      <w:r>
        <w:t xml:space="preserve"> </w:t>
      </w:r>
      <w:r>
        <w:t xml:space="preserve">- Anonymous testing without developer collaboration</w:t>
      </w:r>
      <w:r>
        <w:t xml:space="preserve"> </w:t>
      </w:r>
      <w:r>
        <w:t xml:space="preserve">5.</w:t>
      </w:r>
      <w:r>
        <w:t xml:space="preserve"> </w:t>
      </w:r>
      <w:r>
        <w:rPr>
          <w:b/>
        </w:rPr>
        <w:t xml:space="preserve">Formal Testing Reports</w:t>
      </w:r>
      <w:r>
        <w:t xml:space="preserve"> </w:t>
      </w:r>
      <w:r>
        <w:t xml:space="preserve">- Documented evidence for regulatory decisions</w:t>
      </w:r>
      <w:r>
        <w:t xml:space="preserve"> </w:t>
      </w:r>
      <w:r>
        <w:t xml:space="preserve">6.</w:t>
      </w:r>
      <w:r>
        <w:t xml:space="preserve"> </w:t>
      </w:r>
      <w:r>
        <w:rPr>
          <w:b/>
        </w:rPr>
        <w:t xml:space="preserve">Containment Protocols</w:t>
      </w:r>
      <w:r>
        <w:t xml:space="preserve"> </w:t>
      </w:r>
      <w:r>
        <w:t xml:space="preserve">- Risk mitigation before deployment</w:t>
      </w:r>
      <w:r>
        <w:t xml:space="preserve"> </w:t>
      </w:r>
      <w:r>
        <w:t xml:space="preserve">7.</w:t>
      </w:r>
      <w:r>
        <w:t xml:space="preserve"> </w:t>
      </w:r>
      <w:r>
        <w:rPr>
          <w:b/>
        </w:rPr>
        <w:t xml:space="preserve">Mitigation Protocols</w:t>
      </w:r>
      <w:r>
        <w:t xml:space="preserve"> </w:t>
      </w:r>
      <w:r>
        <w:t xml:space="preserve">- Post-assessment risk management</w:t>
      </w:r>
    </w:p>
    <w:p>
      <w:pPr>
        <w:pStyle w:val="BodyText"/>
      </w:pPr>
      <w:r>
        <w:rPr>
          <w:b/>
        </w:rPr>
        <w:t xml:space="preserve">Evidence-Based Standards Development (Sec. 603(c)):</w:t>
      </w:r>
      <w:r>
        <w:t xml:space="preserve"> </w:t>
      </w:r>
      <w:r>
        <w:t xml:space="preserve">“</w:t>
      </w:r>
      <w:r>
        <w:t xml:space="preserve">The Secretary shall use evidence from testing, evaluation, and research conducted under this program to develop regulatory options, including but not limited to evidence-based standards for advanced artificial intelligence systems, guidance on risk mitigation strategies, and, where appropriate, recommendations for rule-making.</w:t>
      </w:r>
      <w:r>
        <w:t xml:space="preserve">”</w:t>
      </w:r>
    </w:p>
    <w:p>
      <w:pPr>
        <w:pStyle w:val="BodyText"/>
      </w:pPr>
      <w:r>
        <w:rPr>
          <w:b/>
        </w:rPr>
        <w:t xml:space="preserve">Superintelligence Evaluation Provision (Sec. 603(d)-(f)):</w:t>
      </w:r>
      <w:r>
        <w:t xml:space="preserve"> </w:t>
      </w:r>
      <w:r>
        <w:t xml:space="preserve">Program includes specific evaluation protocols for systems approaching or exhibiting</w:t>
      </w:r>
      <w:r>
        <w:t xml:space="preserve"> </w:t>
      </w:r>
      <w:r>
        <w:t xml:space="preserve">“</w:t>
      </w:r>
      <w:r>
        <w:t xml:space="preserve">superintelligence</w:t>
      </w:r>
      <w:r>
        <w:t xml:space="preserve">”</w:t>
      </w:r>
      <w:r>
        <w:t xml:space="preserve"> </w:t>
      </w:r>
      <w:r>
        <w:t xml:space="preserve">characteristics, with consultation on</w:t>
      </w:r>
      <w:r>
        <w:t xml:space="preserve"> </w:t>
      </w:r>
      <w:r>
        <w:t xml:space="preserve">“</w:t>
      </w:r>
      <w:r>
        <w:t xml:space="preserve">international alliances, security implications, and intellectual property protection.</w:t>
      </w:r>
      <w:r>
        <w:t xml:space="preserve">”</w:t>
      </w:r>
    </w:p>
    <w:p>
      <w:pPr>
        <w:pStyle w:val="BodyText"/>
      </w:pPr>
      <w:r>
        <w:rPr>
          <w:b/>
        </w:rPr>
        <w:t xml:space="preserve">NIST AI RMF Alignment (Map and Measure Functions):</w:t>
      </w:r>
    </w:p>
    <w:p>
      <w:pPr>
        <w:pStyle w:val="BodyText"/>
      </w:pPr>
      <w:r>
        <w:t xml:space="preserve">NIST’s Map function involves</w:t>
      </w:r>
      <w:r>
        <w:t xml:space="preserve"> </w:t>
      </w:r>
      <w:r>
        <w:t xml:space="preserve">“</w:t>
      </w:r>
      <w:r>
        <w:t xml:space="preserve">understanding and cataloging artificial intelligence technology, its application, uses and capacities, including potential impacts.</w:t>
      </w:r>
      <w:r>
        <w:t xml:space="preserve">”</w:t>
      </w:r>
    </w:p>
    <w:p>
      <w:pPr>
        <w:pStyle w:val="BodyText"/>
      </w:pPr>
      <w:r>
        <w:t xml:space="preserve">Sec. 603 maps to Map by establishing:</w:t>
      </w:r>
      <w:r>
        <w:t xml:space="preserve"> </w:t>
      </w:r>
      <w:r>
        <w:t xml:space="preserve">- Standardized testing protocols to catalog capabilities</w:t>
      </w:r>
      <w:r>
        <w:t xml:space="preserve"> </w:t>
      </w:r>
      <w:r>
        <w:t xml:space="preserve">- Blind model evaluations to assess actual (vs. claimed) performance</w:t>
      </w:r>
      <w:r>
        <w:t xml:space="preserve"> </w:t>
      </w:r>
      <w:r>
        <w:t xml:space="preserve">- Red-team testing to understand vulnerabilities and limitations</w:t>
      </w:r>
      <w:r>
        <w:t xml:space="preserve"> </w:t>
      </w:r>
      <w:r>
        <w:t xml:space="preserve">- Evidence collection for standards development</w:t>
      </w:r>
    </w:p>
    <w:p>
      <w:pPr>
        <w:pStyle w:val="BodyText"/>
      </w:pPr>
      <w:r>
        <w:t xml:space="preserve">NIST’s Measure function involves</w:t>
      </w:r>
      <w:r>
        <w:t xml:space="preserve"> </w:t>
      </w:r>
      <w:r>
        <w:t xml:space="preserve">“</w:t>
      </w:r>
      <w:r>
        <w:t xml:space="preserve">determining, conducting, and documenting performance and impact assessments.</w:t>
      </w:r>
      <w:r>
        <w:t xml:space="preserve">”</w:t>
      </w:r>
    </w:p>
    <w:p>
      <w:pPr>
        <w:pStyle w:val="BodyText"/>
      </w:pPr>
      <w:r>
        <w:t xml:space="preserve">Sec. 603 maps to Measure by requiring:</w:t>
      </w:r>
      <w:r>
        <w:t xml:space="preserve"> </w:t>
      </w:r>
      <w:r>
        <w:t xml:space="preserve">- Formal testing reports documenting performance</w:t>
      </w:r>
      <w:r>
        <w:t xml:space="preserve"> </w:t>
      </w:r>
      <w:r>
        <w:t xml:space="preserve">- Third-party assessment results</w:t>
      </w:r>
      <w:r>
        <w:t xml:space="preserve"> </w:t>
      </w:r>
      <w:r>
        <w:t xml:space="preserve">- Containment and mitigation effectiveness measurement</w:t>
      </w:r>
      <w:r>
        <w:t xml:space="preserve"> </w:t>
      </w:r>
      <w:r>
        <w:t xml:space="preserve">- Evidence-based standards development</w:t>
      </w:r>
    </w:p>
    <w:p>
      <w:pPr>
        <w:pStyle w:val="BodyText"/>
      </w:pPr>
      <w:r>
        <w:rPr>
          <w:b/>
        </w:rPr>
        <w:t xml:space="preserve">Statutory Novelty:</w:t>
      </w:r>
      <w:r>
        <w:t xml:space="preserve"> </w:t>
      </w:r>
      <w:r>
        <w:t xml:space="preserve">Federal laboratory testbed program for AI evaluation is novel compared to EU AI Act (which relies on provider self-assessment with notified body oversight) and NIST AI RMF (which is non-binding guidance). TRUMP creates mandatory federal evaluation infrastructure.</w:t>
      </w:r>
    </w:p>
    <w:p>
      <w:r>
        <w:pict>
          <v:rect style="width:0;height:1.5pt" o:hralign="center" o:hrstd="t" o:hr="t"/>
        </w:pict>
      </w:r>
    </w:p>
    <w:p>
      <w:pPr>
        <w:pStyle w:val="Heading3"/>
      </w:pPr>
      <w:bookmarkStart w:id="35" w:name="Xdb0e2a49feeacbca85fe299305bfa536987c7f9"/>
      <w:r>
        <w:t xml:space="preserve">3.2 TITLE VII: ESTABLISHING LEGAL STANDARDS FOR ADVANCED AI PRODUCTS (Sec. 701-743)</w:t>
      </w:r>
      <w:bookmarkEnd w:id="35"/>
    </w:p>
    <w:p>
      <w:pPr>
        <w:pStyle w:val="Heading4"/>
      </w:pPr>
      <w:bookmarkStart w:id="36" w:name="X2c054384a029ad0adfa40576fd04e73756690ef"/>
      <w:r>
        <w:t xml:space="preserve">3.2.1 Section 711: Developer Liability Framework</w:t>
      </w:r>
      <w:bookmarkEnd w:id="36"/>
    </w:p>
    <w:p>
      <w:pPr>
        <w:pStyle w:val="FirstParagraph"/>
      </w:pPr>
      <w:r>
        <w:rPr>
          <w:b/>
        </w:rPr>
        <w:t xml:space="preserve">Statutory Text (Pages 140-159):</w:t>
      </w:r>
    </w:p>
    <w:p>
      <w:pPr>
        <w:pStyle w:val="BodyText"/>
      </w:pPr>
      <w:r>
        <w:rPr>
          <w:b/>
        </w:rPr>
        <w:t xml:space="preserve">Four Liability Pathways:</w:t>
      </w:r>
    </w:p>
    <w:p>
      <w:pPr>
        <w:pStyle w:val="BodyText"/>
      </w:pPr>
      <w:r>
        <w:rPr>
          <w:b/>
        </w:rPr>
        <w:t xml:space="preserve">Pathway 1: Failure to Exercise Reasonable Care in Design</w:t>
      </w:r>
      <w:r>
        <w:t xml:space="preserve"> </w:t>
      </w:r>
      <w:r>
        <w:t xml:space="preserve">Statutory liability triggered when developer fails to</w:t>
      </w:r>
      <w:r>
        <w:t xml:space="preserve"> </w:t>
      </w:r>
      <w:r>
        <w:t xml:space="preserve">“</w:t>
      </w:r>
      <w:r>
        <w:t xml:space="preserve">exercise reasonable care in the design, development, and testing of an advanced AI product.</w:t>
      </w:r>
      <w:r>
        <w:t xml:space="preserve">”</w:t>
      </w:r>
    </w:p>
    <w:p>
      <w:pPr>
        <w:pStyle w:val="BodyText"/>
      </w:pPr>
      <w:r>
        <w:t xml:space="preserve">Standard: Negligence-based liability requiring:</w:t>
      </w:r>
      <w:r>
        <w:t xml:space="preserve"> </w:t>
      </w:r>
      <w:r>
        <w:t xml:space="preserve">- Duty of care owed to users/affected parties</w:t>
      </w:r>
      <w:r>
        <w:t xml:space="preserve"> </w:t>
      </w:r>
      <w:r>
        <w:t xml:space="preserve">- Breach through inadequate design/testing/development practices</w:t>
      </w:r>
      <w:r>
        <w:t xml:space="preserve"> </w:t>
      </w:r>
      <w:r>
        <w:t xml:space="preserve">- Causation linking breach to harm</w:t>
      </w:r>
      <w:r>
        <w:t xml:space="preserve"> </w:t>
      </w:r>
      <w:r>
        <w:t xml:space="preserve">- Measurable damages</w:t>
      </w:r>
    </w:p>
    <w:p>
      <w:pPr>
        <w:pStyle w:val="BodyText"/>
      </w:pPr>
      <w:r>
        <w:rPr>
          <w:b/>
        </w:rPr>
        <w:t xml:space="preserve">Pathway 2: Failure to Provide Adequate Instructions or Warnings</w:t>
      </w:r>
      <w:r>
        <w:t xml:space="preserve"> </w:t>
      </w:r>
      <w:r>
        <w:t xml:space="preserve">“</w:t>
      </w:r>
      <w:r>
        <w:t xml:space="preserve">Failure to provide adequate instructions, warnings, or labeling to users regarding the risks, limitations, and appropriate use of the advanced AI product.</w:t>
      </w:r>
      <w:r>
        <w:t xml:space="preserve">”</w:t>
      </w:r>
    </w:p>
    <w:p>
      <w:pPr>
        <w:pStyle w:val="BodyText"/>
      </w:pPr>
      <w:r>
        <w:t xml:space="preserve">Knowledge requirement:</w:t>
      </w:r>
      <w:r>
        <w:t xml:space="preserve"> </w:t>
      </w:r>
      <w:r>
        <w:t xml:space="preserve">“</w:t>
      </w:r>
      <w:r>
        <w:t xml:space="preserve">At the time the advanced AI product left the control of the developer.</w:t>
      </w:r>
      <w:r>
        <w:t xml:space="preserve">”</w:t>
      </w:r>
    </w:p>
    <w:p>
      <w:pPr>
        <w:pStyle w:val="BodyText"/>
      </w:pPr>
      <w:r>
        <w:rPr>
          <w:b/>
        </w:rPr>
        <w:t xml:space="preserve">Pathway 3: Express Warranty Breach</w:t>
      </w:r>
      <w:r>
        <w:t xml:space="preserve"> </w:t>
      </w:r>
      <w:r>
        <w:t xml:space="preserve">Liability for breach of express warranties made regarding:</w:t>
      </w:r>
      <w:r>
        <w:t xml:space="preserve"> </w:t>
      </w:r>
      <w:r>
        <w:t xml:space="preserve">- Performance characteristics</w:t>
      </w:r>
      <w:r>
        <w:t xml:space="preserve"> </w:t>
      </w:r>
      <w:r>
        <w:t xml:space="preserve">- Risk mitigation</w:t>
      </w:r>
      <w:r>
        <w:t xml:space="preserve"> </w:t>
      </w:r>
      <w:r>
        <w:t xml:space="preserve">- Functional capabilities</w:t>
      </w:r>
      <w:r>
        <w:t xml:space="preserve"> </w:t>
      </w:r>
      <w:r>
        <w:t xml:space="preserve">- Safety attributes</w:t>
      </w:r>
    </w:p>
    <w:p>
      <w:pPr>
        <w:pStyle w:val="BodyText"/>
      </w:pPr>
      <w:r>
        <w:rPr>
          <w:b/>
        </w:rPr>
        <w:t xml:space="preserve">Pathway 4: Defective Condition (Strict Liability)</w:t>
      </w:r>
      <w:r>
        <w:t xml:space="preserve"> </w:t>
      </w:r>
      <w:r>
        <w:t xml:space="preserve">“</w:t>
      </w:r>
      <w:r>
        <w:t xml:space="preserve">A product is in a defective condition if the product is unreasonably dangerous and either:</w:t>
      </w:r>
      <w:r>
        <w:t xml:space="preserve"> </w:t>
      </w:r>
      <w:r>
        <w:t xml:space="preserve">- (A) the product does not conform to an express warranty; or</w:t>
      </w:r>
      <w:r>
        <w:t xml:space="preserve"> </w:t>
      </w:r>
      <w:r>
        <w:t xml:space="preserve">- (B) the product is more dangerous than a consumer would reasonably expect.</w:t>
      </w:r>
      <w:r>
        <w:t xml:space="preserve">”</w:t>
      </w:r>
    </w:p>
    <w:p>
      <w:pPr>
        <w:pStyle w:val="BodyText"/>
      </w:pPr>
      <w:r>
        <w:rPr>
          <w:b/>
        </w:rPr>
        <w:t xml:space="preserve">Defective Design Standards (Sec. 711(c)):</w:t>
      </w:r>
    </w:p>
    <w:p>
      <w:pPr>
        <w:pStyle w:val="BodyText"/>
      </w:pPr>
      <w:r>
        <w:t xml:space="preserve">Plaintiff must establish that</w:t>
      </w:r>
      <w:r>
        <w:t xml:space="preserve"> </w:t>
      </w:r>
      <w:r>
        <w:t xml:space="preserve">“</w:t>
      </w:r>
      <w:r>
        <w:t xml:space="preserve">a reasonable alternative design was available at the time of development and that such alternative design would have prevented or substantially reduced the harm.</w:t>
      </w:r>
      <w:r>
        <w:t xml:space="preserve">”</w:t>
      </w:r>
    </w:p>
    <w:p>
      <w:pPr>
        <w:pStyle w:val="BodyText"/>
      </w:pPr>
      <w:r>
        <w:t xml:space="preserve">Manifest unreasonableness provision: Design need not reduce all risk, only reduce harm in</w:t>
      </w:r>
      <w:r>
        <w:t xml:space="preserve"> </w:t>
      </w:r>
      <w:r>
        <w:t xml:space="preserve">“</w:t>
      </w:r>
      <w:r>
        <w:t xml:space="preserve">reasonable proportion</w:t>
      </w:r>
      <w:r>
        <w:t xml:space="preserve">”</w:t>
      </w:r>
      <w:r>
        <w:t xml:space="preserve"> </w:t>
      </w:r>
      <w:r>
        <w:t xml:space="preserve">to added costs/burdens.</w:t>
      </w:r>
    </w:p>
    <w:p>
      <w:pPr>
        <w:pStyle w:val="BodyText"/>
      </w:pPr>
      <w:r>
        <w:rPr>
          <w:b/>
        </w:rPr>
        <w:t xml:space="preserve">Presumption of Defectiveness (Sec. 711(c)(5)):</w:t>
      </w:r>
      <w:r>
        <w:t xml:space="preserve"> </w:t>
      </w:r>
      <w:r>
        <w:t xml:space="preserve">“</w:t>
      </w:r>
      <w:r>
        <w:t xml:space="preserve">Noncompliance with any applicable safety statute, regulation, or industry standard shall create a rebuttable presumption that the advanced AI product is defective.</w:t>
      </w:r>
      <w:r>
        <w:t xml:space="preserve">”</w:t>
      </w:r>
    </w:p>
    <w:p>
      <w:pPr>
        <w:pStyle w:val="BodyText"/>
      </w:pPr>
      <w:r>
        <w:rPr>
          <w:b/>
        </w:rPr>
        <w:t xml:space="preserve">Circumstantial Evidence Rule (Sec. 711(c)(4)):</w:t>
      </w:r>
      <w:r>
        <w:t xml:space="preserve"> </w:t>
      </w:r>
      <w:r>
        <w:t xml:space="preserve">“</w:t>
      </w:r>
      <w:r>
        <w:t xml:space="preserve">Circumstantial evidence of a product defect shall be admissible in an action for a violation of this subsection.</w:t>
      </w:r>
      <w:r>
        <w:t xml:space="preserve">”</w:t>
      </w:r>
    </w:p>
    <w:p>
      <w:pPr>
        <w:pStyle w:val="BodyText"/>
      </w:pPr>
      <w:r>
        <w:rPr>
          <w:b/>
        </w:rPr>
        <w:t xml:space="preserve">Open and Obvious Risk Exception (Sec. 711(e)):</w:t>
      </w:r>
      <w:r>
        <w:t xml:space="preserve"> </w:t>
      </w:r>
      <w:r>
        <w:t xml:space="preserve">“</w:t>
      </w:r>
      <w:r>
        <w:t xml:space="preserve">A product shall not be considered to be in a defective condition due to an open and obvious risk.</w:t>
      </w:r>
      <w:r>
        <w:t xml:space="preserve">”</w:t>
      </w:r>
    </w:p>
    <w:p>
      <w:pPr>
        <w:pStyle w:val="BodyText"/>
      </w:pPr>
      <w:r>
        <w:rPr>
          <w:b/>
        </w:rPr>
        <w:t xml:space="preserve">Special Rule for Minors (Sec. 711(e)(2)):</w:t>
      </w:r>
      <w:r>
        <w:t xml:space="preserve"> </w:t>
      </w:r>
      <w:r>
        <w:t xml:space="preserve">Presumption against open-and-obvious defense for users under 18 years old.</w:t>
      </w:r>
    </w:p>
    <w:p>
      <w:pPr>
        <w:pStyle w:val="BodyText"/>
      </w:pPr>
      <w:r>
        <w:rPr>
          <w:b/>
        </w:rPr>
        <w:t xml:space="preserve">Substantial Modification Doctrine (Sec. 711(f)):</w:t>
      </w:r>
      <w:r>
        <w:t xml:space="preserve"> </w:t>
      </w:r>
      <w:r>
        <w:t xml:space="preserve">Developer not liable for harm caused by substantial modification of product by user/third party.</w:t>
      </w:r>
    </w:p>
    <w:p>
      <w:pPr>
        <w:pStyle w:val="BodyText"/>
      </w:pPr>
      <w:r>
        <w:rPr>
          <w:b/>
        </w:rPr>
        <w:t xml:space="preserve">Deployer Liability (Sec. 712):</w:t>
      </w:r>
    </w:p>
    <w:p>
      <w:pPr>
        <w:pStyle w:val="BodyText"/>
      </w:pPr>
      <w:r>
        <w:t xml:space="preserve">Deployer liability mirrors developer framework but triggered by deployer’s failure to:</w:t>
      </w:r>
      <w:r>
        <w:t xml:space="preserve"> </w:t>
      </w:r>
      <w:r>
        <w:t xml:space="preserve">- Exercise reasonable care in deployment, operation, or monitoring</w:t>
      </w:r>
      <w:r>
        <w:t xml:space="preserve"> </w:t>
      </w:r>
      <w:r>
        <w:t xml:space="preserve">- Provide warnings regarding known risks or limitations</w:t>
      </w:r>
      <w:r>
        <w:t xml:space="preserve"> </w:t>
      </w:r>
      <w:r>
        <w:t xml:space="preserve">- Maintain appropriate governance and audit systems</w:t>
      </w:r>
      <w:r>
        <w:t xml:space="preserve"> </w:t>
      </w:r>
      <w:r>
        <w:t xml:space="preserve">- Respond to risk indicators</w:t>
      </w:r>
    </w:p>
    <w:p>
      <w:r>
        <w:pict>
          <v:rect style="width:0;height:1.5pt" o:hralign="center" o:hrstd="t" o:hr="t"/>
        </w:pict>
      </w:r>
    </w:p>
    <w:p>
      <w:pPr>
        <w:pStyle w:val="Heading4"/>
      </w:pPr>
      <w:bookmarkStart w:id="37" w:name="X7b1d67dfd3aec35b274146dc06b6a6f2e06b683"/>
      <w:r>
        <w:t xml:space="preserve">3.2.2 EU AI Act Comparison (Articles 6-15 Liability Provisions)</w:t>
      </w:r>
      <w:bookmarkEnd w:id="37"/>
    </w:p>
    <w:p>
      <w:pPr>
        <w:pStyle w:val="FirstParagraph"/>
      </w:pPr>
      <w:r>
        <w:rPr>
          <w:b/>
        </w:rPr>
        <w:t xml:space="preserve">EU Approach to Developer Liability (Articles 10, 15):</w:t>
      </w:r>
    </w:p>
    <w:p>
      <w:pPr>
        <w:pStyle w:val="BodyText"/>
      </w:pPr>
      <w:r>
        <w:t xml:space="preserve">EU AI Act Article 10 (High-Risk AI System Requirements):</w:t>
      </w:r>
      <w:r>
        <w:t xml:space="preserve"> </w:t>
      </w:r>
      <w:r>
        <w:t xml:space="preserve">- Providers must implement risk management system</w:t>
      </w:r>
      <w:r>
        <w:t xml:space="preserve"> </w:t>
      </w:r>
      <w:r>
        <w:t xml:space="preserve">- Perform data quality assessment</w:t>
      </w:r>
      <w:r>
        <w:t xml:space="preserve"> </w:t>
      </w:r>
      <w:r>
        <w:t xml:space="preserve">- Conduct human oversight documentation</w:t>
      </w:r>
      <w:r>
        <w:t xml:space="preserve"> </w:t>
      </w:r>
      <w:r>
        <w:t xml:space="preserve">- Implement transparency and record-keeping</w:t>
      </w:r>
    </w:p>
    <w:p>
      <w:pPr>
        <w:pStyle w:val="BodyText"/>
      </w:pPr>
      <w:r>
        <w:t xml:space="preserve">EU Article 15 (Obligation to Provide Information):</w:t>
      </w:r>
      <w:r>
        <w:t xml:space="preserve"> </w:t>
      </w:r>
      <w:r>
        <w:t xml:space="preserve">- Providers must inform deployers of high-risk AI system characteristics</w:t>
      </w:r>
      <w:r>
        <w:t xml:space="preserve"> </w:t>
      </w:r>
      <w:r>
        <w:t xml:space="preserve">- Provide documentation on functionality and risk mitigation</w:t>
      </w:r>
      <w:r>
        <w:t xml:space="preserve"> </w:t>
      </w:r>
      <w:r>
        <w:t xml:space="preserve">- Enable users to understand AI decision-making</w:t>
      </w:r>
    </w:p>
    <w:p>
      <w:pPr>
        <w:pStyle w:val="BodyText"/>
      </w:pPr>
      <w:r>
        <w:rPr>
          <w:b/>
        </w:rPr>
        <w:t xml:space="preserve">EU Liability Framework (Product Liability Directive 85/374/EEC, amended by AI Act):</w:t>
      </w:r>
    </w:p>
    <w:p>
      <w:pPr>
        <w:pStyle w:val="BodyText"/>
      </w:pPr>
      <w:r>
        <w:t xml:space="preserve">EU does NOT establish AI-specific liability regime in AI Act itself. Instead, AI Act amends existing Product Liability Directive through:</w:t>
      </w:r>
      <w:r>
        <w:t xml:space="preserve"> </w:t>
      </w:r>
      <w:r>
        <w:t xml:space="preserve">- Rebuttable presumption that defect exists if AI system does not comply with AI Act requirements</w:t>
      </w:r>
      <w:r>
        <w:t xml:space="preserve"> </w:t>
      </w:r>
      <w:r>
        <w:t xml:space="preserve">- Strict liability for high-risk AI systems</w:t>
      </w:r>
      <w:r>
        <w:t xml:space="preserve"> </w:t>
      </w:r>
      <w:r>
        <w:t xml:space="preserve">- Burden of proof shifts to provider (vs. U.S. default to plaintiff)</w:t>
      </w:r>
    </w:p>
    <w:p>
      <w:pPr>
        <w:pStyle w:val="BodyText"/>
      </w:pPr>
      <w:r>
        <w:rPr>
          <w:b/>
        </w:rPr>
        <w:t xml:space="preserve">Critical Difference 1: Burden of Proof</w:t>
      </w:r>
      <w:r>
        <w:t xml:space="preserve"> </w:t>
      </w:r>
      <w:r>
        <w:t xml:space="preserve">- TRUMP: Plaintiff must establish developer breach and causation (negligence standard)</w:t>
      </w:r>
      <w:r>
        <w:t xml:space="preserve"> </w:t>
      </w:r>
      <w:r>
        <w:t xml:space="preserve">- EU: Presumption of defect if AI Act compliance violated; provider must rebut</w:t>
      </w:r>
    </w:p>
    <w:p>
      <w:pPr>
        <w:pStyle w:val="BodyText"/>
      </w:pPr>
      <w:r>
        <w:rPr>
          <w:b/>
        </w:rPr>
        <w:t xml:space="preserve">Critical Difference 2: Defective Design Standard</w:t>
      </w:r>
      <w:r>
        <w:t xml:space="preserve"> </w:t>
      </w:r>
      <w:r>
        <w:t xml:space="preserve">- TRUMP:</w:t>
      </w:r>
      <w:r>
        <w:t xml:space="preserve"> </w:t>
      </w:r>
      <w:r>
        <w:t xml:space="preserve">“</w:t>
      </w:r>
      <w:r>
        <w:t xml:space="preserve">Reasonable alternative design</w:t>
      </w:r>
      <w:r>
        <w:t xml:space="preserve">”</w:t>
      </w:r>
      <w:r>
        <w:t xml:space="preserve"> </w:t>
      </w:r>
      <w:r>
        <w:t xml:space="preserve">test requiring plaintiff to show design alternative</w:t>
      </w:r>
      <w:r>
        <w:t xml:space="preserve"> </w:t>
      </w:r>
      <w:r>
        <w:t xml:space="preserve">- EU: No explicit alternative design requirement; compliance with AI Act requirements is sufficient</w:t>
      </w:r>
    </w:p>
    <w:p>
      <w:pPr>
        <w:pStyle w:val="BodyText"/>
      </w:pPr>
      <w:r>
        <w:rPr>
          <w:b/>
        </w:rPr>
        <w:t xml:space="preserve">Critical Difference 3: Scope of Covered Products</w:t>
      </w:r>
      <w:r>
        <w:t xml:space="preserve"> </w:t>
      </w:r>
      <w:r>
        <w:t xml:space="preserve">- TRUMP: Limited to</w:t>
      </w:r>
      <w:r>
        <w:t xml:space="preserve"> </w:t>
      </w:r>
      <w:r>
        <w:t xml:space="preserve">“</w:t>
      </w:r>
      <w:r>
        <w:t xml:space="preserve">advanced AI products</w:t>
      </w:r>
      <w:r>
        <w:t xml:space="preserve">”</w:t>
      </w:r>
      <w:r>
        <w:t xml:space="preserve"> </w:t>
      </w:r>
      <w:r>
        <w:t xml:space="preserve">meeting computational threshold</w:t>
      </w:r>
      <w:r>
        <w:t xml:space="preserve"> </w:t>
      </w:r>
      <w:r>
        <w:t xml:space="preserve">- EU: Applies to all</w:t>
      </w:r>
      <w:r>
        <w:t xml:space="preserve"> </w:t>
      </w:r>
      <w:r>
        <w:t xml:space="preserve">“</w:t>
      </w:r>
      <w:r>
        <w:t xml:space="preserve">high-risk AI systems</w:t>
      </w:r>
      <w:r>
        <w:t xml:space="preserve">”</w:t>
      </w:r>
      <w:r>
        <w:t xml:space="preserve"> </w:t>
      </w:r>
      <w:r>
        <w:t xml:space="preserve">per Annex III (broader scope including lower-risk systems if used in high-risk context)</w:t>
      </w:r>
    </w:p>
    <w:p>
      <w:pPr>
        <w:pStyle w:val="Heading4"/>
      </w:pPr>
      <w:bookmarkStart w:id="38" w:name="nist-ai-rmf-comparison-manage-function"/>
      <w:r>
        <w:t xml:space="preserve">3.2.3 NIST AI RMF Comparison (Manage Function)</w:t>
      </w:r>
      <w:bookmarkEnd w:id="38"/>
    </w:p>
    <w:p>
      <w:pPr>
        <w:pStyle w:val="FirstParagraph"/>
      </w:pPr>
      <w:r>
        <w:t xml:space="preserve">NIST’s Manage function involves</w:t>
      </w:r>
      <w:r>
        <w:t xml:space="preserve"> </w:t>
      </w:r>
      <w:r>
        <w:t xml:space="preserve">“</w:t>
      </w:r>
      <w:r>
        <w:t xml:space="preserve">taking actions to address, mitigate, and manage identified artificial intelligence risks.</w:t>
      </w:r>
      <w:r>
        <w:t xml:space="preserve">”</w:t>
      </w:r>
    </w:p>
    <w:p>
      <w:pPr>
        <w:pStyle w:val="BodyText"/>
      </w:pPr>
      <w:r>
        <w:t xml:space="preserve">TRUMP Sec. 711-712 liability framework maps to Manage by creating:</w:t>
      </w:r>
      <w:r>
        <w:t xml:space="preserve"> </w:t>
      </w:r>
      <w:r>
        <w:t xml:space="preserve">1.</w:t>
      </w:r>
      <w:r>
        <w:t xml:space="preserve"> </w:t>
      </w:r>
      <w:r>
        <w:rPr>
          <w:b/>
        </w:rPr>
        <w:t xml:space="preserve">Legal consequence incentive</w:t>
      </w:r>
      <w:r>
        <w:t xml:space="preserve"> </w:t>
      </w:r>
      <w:r>
        <w:t xml:space="preserve">for risk mitigation (damages liability)</w:t>
      </w:r>
      <w:r>
        <w:t xml:space="preserve"> </w:t>
      </w:r>
      <w:r>
        <w:t xml:space="preserve">2.</w:t>
      </w:r>
      <w:r>
        <w:t xml:space="preserve"> </w:t>
      </w:r>
      <w:r>
        <w:rPr>
          <w:b/>
        </w:rPr>
        <w:t xml:space="preserve">Documentation requirements</w:t>
      </w:r>
      <w:r>
        <w:t xml:space="preserve"> </w:t>
      </w:r>
      <w:r>
        <w:t xml:space="preserve">(testing reports, governance frameworks)</w:t>
      </w:r>
      <w:r>
        <w:t xml:space="preserve"> </w:t>
      </w:r>
      <w:r>
        <w:t xml:space="preserve">3.</w:t>
      </w:r>
      <w:r>
        <w:t xml:space="preserve"> </w:t>
      </w:r>
      <w:r>
        <w:rPr>
          <w:b/>
        </w:rPr>
        <w:t xml:space="preserve">Duty of care standard</w:t>
      </w:r>
      <w:r>
        <w:t xml:space="preserve"> </w:t>
      </w:r>
      <w:r>
        <w:t xml:space="preserve">requiring ongoing risk assessment</w:t>
      </w:r>
      <w:r>
        <w:t xml:space="preserve"> </w:t>
      </w:r>
      <w:r>
        <w:t xml:space="preserve">4.</w:t>
      </w:r>
      <w:r>
        <w:t xml:space="preserve"> </w:t>
      </w:r>
      <w:r>
        <w:rPr>
          <w:b/>
        </w:rPr>
        <w:t xml:space="preserve">Third-party accountability</w:t>
      </w:r>
      <w:r>
        <w:t xml:space="preserve"> </w:t>
      </w:r>
      <w:r>
        <w:t xml:space="preserve">through deployer liability</w:t>
      </w:r>
    </w:p>
    <w:p>
      <w:pPr>
        <w:pStyle w:val="BodyText"/>
      </w:pPr>
      <w:r>
        <w:rPr>
          <w:b/>
        </w:rPr>
        <w:t xml:space="preserve">Key Interoperability Issue 2:</w:t>
      </w:r>
      <w:r>
        <w:t xml:space="preserve"> </w:t>
      </w:r>
      <w:r>
        <w:t xml:space="preserve">TRUMP liability regime creates incentive structure for NIST Manage function (developers must demonstrate risk management to avoid liability), whereas EU AI Act creates prescriptive compliance structure through Annex III requirements. NIST-TRUMP approach is outcome-based; EU approach is input-based.</w:t>
      </w:r>
    </w:p>
    <w:p>
      <w:r>
        <w:pict>
          <v:rect style="width:0;height:1.5pt" o:hralign="center" o:hrstd="t" o:hr="t"/>
        </w:pict>
      </w:r>
    </w:p>
    <w:p>
      <w:pPr>
        <w:pStyle w:val="Heading3"/>
      </w:pPr>
      <w:bookmarkStart w:id="39" w:name="X9eed608872bdd81405ed9585f6b36b28008d8b3"/>
      <w:r>
        <w:t xml:space="preserve">3.3 TITLE IX: FUTURE OF ARTIFICIAL INTELLIGENCE INNOVATION (Sec. 900-953)</w:t>
      </w:r>
      <w:bookmarkEnd w:id="39"/>
    </w:p>
    <w:p>
      <w:pPr>
        <w:pStyle w:val="Heading4"/>
      </w:pPr>
      <w:bookmarkStart w:id="40" w:name="X609e797c64eb8d3891ebc1e875e157de6654474"/>
      <w:r>
        <w:t xml:space="preserve">3.3.1 Section 931: Comptroller General Report on Regulatory Impediments</w:t>
      </w:r>
      <w:bookmarkEnd w:id="40"/>
    </w:p>
    <w:p>
      <w:pPr>
        <w:pStyle w:val="FirstParagraph"/>
      </w:pPr>
      <w:r>
        <w:rPr>
          <w:b/>
        </w:rPr>
        <w:t xml:space="preserve">Statutory Text (Pages 160-179):</w:t>
      </w:r>
    </w:p>
    <w:p>
      <w:pPr>
        <w:pStyle w:val="BodyText"/>
      </w:pPr>
      <w:r>
        <w:t xml:space="preserve">“</w:t>
      </w:r>
      <w:r>
        <w:t xml:space="preserve">The Comptroller General shall submit to Congress a report analyzing regulatory impediments to artificial intelligence innovation in the United States, including an analysis of:</w:t>
      </w:r>
      <w:r>
        <w:t xml:space="preserve"> </w:t>
      </w:r>
      <w:r>
        <w:t xml:space="preserve">- (1) Federal and State regulatory frameworks that may impede AI innovation</w:t>
      </w:r>
      <w:r>
        <w:t xml:space="preserve"> </w:t>
      </w:r>
      <w:r>
        <w:t xml:space="preserve">- (2) Recommendations for streamlining regulatory review</w:t>
      </w:r>
      <w:r>
        <w:t xml:space="preserve"> </w:t>
      </w:r>
      <w:r>
        <w:t xml:space="preserve">- (3) International regulatory approaches and comparative analysis</w:t>
      </w:r>
      <w:r>
        <w:t xml:space="preserve">”</w:t>
      </w:r>
    </w:p>
    <w:p>
      <w:pPr>
        <w:pStyle w:val="BodyText"/>
      </w:pPr>
      <w:r>
        <w:rPr>
          <w:b/>
        </w:rPr>
        <w:t xml:space="preserve">Implications:</w:t>
      </w:r>
      <w:r>
        <w:t xml:space="preserve"> </w:t>
      </w:r>
      <w:r>
        <w:t xml:space="preserve">Creates Congressional oversight mechanism for regulatory burden assessment, suggesting legislature intends ongoing review of AI innovation impact.</w:t>
      </w:r>
    </w:p>
    <w:p>
      <w:pPr>
        <w:pStyle w:val="Heading4"/>
      </w:pPr>
      <w:bookmarkStart w:id="41" w:name="X5697703c3ea77659239ad69b6cb55088ad3dbb4"/>
      <w:r>
        <w:t xml:space="preserve">3.3.2 Section 941: Public Data for Artificial Intelligence Systems</w:t>
      </w:r>
      <w:bookmarkEnd w:id="41"/>
    </w:p>
    <w:p>
      <w:pPr>
        <w:pStyle w:val="FirstParagraph"/>
      </w:pPr>
      <w:r>
        <w:rPr>
          <w:b/>
        </w:rPr>
        <w:t xml:space="preserve">Statutory Text (Pages 160-179):</w:t>
      </w:r>
    </w:p>
    <w:p>
      <w:pPr>
        <w:pStyle w:val="BodyText"/>
      </w:pPr>
      <w:r>
        <w:t xml:space="preserve">“</w:t>
      </w:r>
      <w:r>
        <w:t xml:space="preserve">The Director of the National Institute of Standards and Technology shall establish a program to make publicly available datasets suitable for training artificial intelligence systems.</w:t>
      </w:r>
      <w:r>
        <w:t xml:space="preserve">”</w:t>
      </w:r>
    </w:p>
    <w:p>
      <w:pPr>
        <w:pStyle w:val="BodyText"/>
      </w:pPr>
      <w:r>
        <w:rPr>
          <w:b/>
        </w:rPr>
        <w:t xml:space="preserve">Priority Dataset Categories (20 datasets identified):</w:t>
      </w:r>
    </w:p>
    <w:p>
      <w:pPr>
        <w:pStyle w:val="BodyText"/>
      </w:pPr>
      <w:r>
        <w:t xml:space="preserve">Considerations for selection include:</w:t>
      </w:r>
      <w:r>
        <w:t xml:space="preserve"> </w:t>
      </w:r>
      <w:r>
        <w:t xml:space="preserve">- Applicability to societal challenges (health, climate, education, infrastructure)</w:t>
      </w:r>
      <w:r>
        <w:t xml:space="preserve"> </w:t>
      </w:r>
      <w:r>
        <w:t xml:space="preserve">- Key technology focus areas per Executive Branch AI strategy</w:t>
      </w:r>
      <w:r>
        <w:t xml:space="preserve"> </w:t>
      </w:r>
      <w:r>
        <w:t xml:space="preserve">- Major U.S. economic sectors (financial services, manufacturing, agriculture, energy)</w:t>
      </w:r>
      <w:r>
        <w:t xml:space="preserve"> </w:t>
      </w:r>
      <w:r>
        <w:t xml:space="preserve">- Underrepresented communities and demographic balance</w:t>
      </w:r>
      <w:r>
        <w:t xml:space="preserve"> </w:t>
      </w:r>
      <w:r>
        <w:t xml:space="preserve">- Quality and completeness metrics</w:t>
      </w:r>
    </w:p>
    <w:p>
      <w:pPr>
        <w:pStyle w:val="BodyText"/>
      </w:pPr>
      <w:r>
        <w:rPr>
          <w:b/>
        </w:rPr>
        <w:t xml:space="preserve">NIST Integration:</w:t>
      </w:r>
      <w:r>
        <w:t xml:space="preserve"> </w:t>
      </w:r>
      <w:r>
        <w:t xml:space="preserve">Program places NIST in data curation role, supporting research community access to training data for AI development.</w:t>
      </w:r>
    </w:p>
    <w:p>
      <w:pPr>
        <w:pStyle w:val="BodyText"/>
      </w:pPr>
      <w:r>
        <w:rPr>
          <w:b/>
        </w:rPr>
        <w:t xml:space="preserve">Interoperability with NIST AI RMF:</w:t>
      </w:r>
      <w:r>
        <w:t xml:space="preserve"> </w:t>
      </w:r>
      <w:r>
        <w:t xml:space="preserve">Data availability supports Map function (understanding AI technology capabilities across domains) and Measure function (assessing performance across diverse datasets).</w:t>
      </w:r>
    </w:p>
    <w:p>
      <w:pPr>
        <w:pStyle w:val="Heading4"/>
      </w:pPr>
      <w:bookmarkStart w:id="42" w:name="Xa59843d98cbe48b5c46e9b0cc981999c0787b95"/>
      <w:r>
        <w:t xml:space="preserve">3.3.3 Section 942: Federal Grand Challenges in Artificial Intelligence</w:t>
      </w:r>
      <w:bookmarkEnd w:id="42"/>
    </w:p>
    <w:p>
      <w:pPr>
        <w:pStyle w:val="FirstParagraph"/>
      </w:pPr>
      <w:r>
        <w:rPr>
          <w:b/>
        </w:rPr>
        <w:t xml:space="preserve">Statutory Text (Pages 160-179):</w:t>
      </w:r>
    </w:p>
    <w:p>
      <w:pPr>
        <w:pStyle w:val="BodyText"/>
      </w:pPr>
      <w:r>
        <w:t xml:space="preserve">“</w:t>
      </w:r>
      <w:r>
        <w:t xml:space="preserve">The Director of the National Science Foundation, in coordination with other relevant Federal agencies, shall establish a program awarding prizes for artificial intelligence development in priority areas, including:</w:t>
      </w:r>
      <w:r>
        <w:t xml:space="preserve"> </w:t>
      </w:r>
      <w:r>
        <w:t xml:space="preserve">- Advanced reasoning capabilities</w:t>
      </w:r>
      <w:r>
        <w:t xml:space="preserve"> </w:t>
      </w:r>
      <w:r>
        <w:t xml:space="preserve">- Reasoning across domains</w:t>
      </w:r>
      <w:r>
        <w:t xml:space="preserve"> </w:t>
      </w:r>
      <w:r>
        <w:t xml:space="preserve">- Transparency and explainability mechanisms</w:t>
      </w:r>
      <w:r>
        <w:t xml:space="preserve"> </w:t>
      </w:r>
      <w:r>
        <w:t xml:space="preserve">- Robustness and adversarial resilience</w:t>
      </w:r>
      <w:r>
        <w:t xml:space="preserve"> </w:t>
      </w:r>
      <w:r>
        <w:t xml:space="preserve">- Energy efficiency in training and inference</w:t>
      </w:r>
      <w:r>
        <w:t xml:space="preserve"> </w:t>
      </w:r>
      <w:r>
        <w:t xml:space="preserve">- Fair and unbiased decision-making systems</w:t>
      </w:r>
      <w:r>
        <w:t xml:space="preserve">”</w:t>
      </w:r>
    </w:p>
    <w:p>
      <w:pPr>
        <w:pStyle w:val="BodyText"/>
      </w:pPr>
      <w:r>
        <w:rPr>
          <w:b/>
        </w:rPr>
        <w:t xml:space="preserve">Prize Structure:</w:t>
      </w:r>
      <w:r>
        <w:t xml:space="preserve"> </w:t>
      </w:r>
      <w:r>
        <w:t xml:space="preserve">Competitive challenge program modeled on DARPA grand challenges and NSF innovation contests.</w:t>
      </w:r>
    </w:p>
    <w:p>
      <w:pPr>
        <w:pStyle w:val="BodyText"/>
      </w:pPr>
      <w:r>
        <w:rPr>
          <w:b/>
        </w:rPr>
        <w:t xml:space="preserve">Innovation Policy Function:</w:t>
      </w:r>
      <w:r>
        <w:t xml:space="preserve"> </w:t>
      </w:r>
      <w:r>
        <w:t xml:space="preserve">Creates market incentive for development in areas deemed strategically important, with emphasis on transparency/explainability and robustness.</w:t>
      </w:r>
    </w:p>
    <w:p>
      <w:r>
        <w:pict>
          <v:rect style="width:0;height:1.5pt" o:hralign="center" o:hrstd="t" o:hr="t"/>
        </w:pict>
      </w:r>
    </w:p>
    <w:p>
      <w:pPr>
        <w:pStyle w:val="Heading3"/>
      </w:pPr>
      <w:bookmarkStart w:id="43" w:name="X929c41f0b78a8a351e411a2a71b621b44334276"/>
      <w:r>
        <w:t xml:space="preserve">3.4 TITLE X AND TITLE LVI: NATIONAL ARTIFICIAL INTELLIGENCE RESEARCH RESOURCE (NAIRR)</w:t>
      </w:r>
      <w:bookmarkEnd w:id="43"/>
    </w:p>
    <w:p>
      <w:pPr>
        <w:pStyle w:val="Heading4"/>
      </w:pPr>
      <w:bookmarkStart w:id="44" w:name="X39a09700b1f5b436d685e04bb0b7cbe0027f2b9"/>
      <w:r>
        <w:t xml:space="preserve">3.4.1 Section 1001-1002: NAIRR Establishment and Governance</w:t>
      </w:r>
      <w:bookmarkEnd w:id="44"/>
    </w:p>
    <w:p>
      <w:pPr>
        <w:pStyle w:val="FirstParagraph"/>
      </w:pPr>
      <w:r>
        <w:rPr>
          <w:b/>
        </w:rPr>
        <w:t xml:space="preserve">Statutory Text (Pages 200-219):</w:t>
      </w:r>
    </w:p>
    <w:p>
      <w:pPr>
        <w:pStyle w:val="BodyText"/>
      </w:pPr>
      <w:r>
        <w:rPr>
          <w:b/>
        </w:rPr>
        <w:t xml:space="preserve">NAIRR Steering Subcommittee (Sec. 1001):</w:t>
      </w:r>
      <w:r>
        <w:t xml:space="preserve"> </w:t>
      </w:r>
      <w:r>
        <w:t xml:space="preserve">- Composition: Government representatives, private sector, academia, public interest groups</w:t>
      </w:r>
      <w:r>
        <w:t xml:space="preserve"> </w:t>
      </w:r>
      <w:r>
        <w:t xml:space="preserve">- Functions: Policy oversight, resource allocation, strategic direction</w:t>
      </w:r>
      <w:r>
        <w:t xml:space="preserve"> </w:t>
      </w:r>
      <w:r>
        <w:t xml:space="preserve">- Reporting: Annual review to Congress and Executive Branch</w:t>
      </w:r>
    </w:p>
    <w:p>
      <w:pPr>
        <w:pStyle w:val="BodyText"/>
      </w:pPr>
      <w:r>
        <w:rPr>
          <w:b/>
        </w:rPr>
        <w:t xml:space="preserve">NAIRR Establishment (Sec. 1002):</w:t>
      </w:r>
      <w:r>
        <w:t xml:space="preserve"> </w:t>
      </w:r>
      <w:r>
        <w:t xml:space="preserve">“</w:t>
      </w:r>
      <w:r>
        <w:t xml:space="preserve">There is established within the National Science Foundation the National Artificial Intelligence Research Resource to spur artificial intelligence innovation, improve access to artificial intelligence resources, improve research capacity, and support testing and evaluation of artificial intelligence systems.</w:t>
      </w:r>
      <w:r>
        <w:t xml:space="preserve">”</w:t>
      </w:r>
    </w:p>
    <w:p>
      <w:pPr>
        <w:pStyle w:val="BodyText"/>
      </w:pPr>
      <w:r>
        <w:rPr>
          <w:b/>
        </w:rPr>
        <w:t xml:space="preserve">Program Management Office:</w:t>
      </w:r>
      <w:r>
        <w:t xml:space="preserve"> </w:t>
      </w:r>
      <w:r>
        <w:t xml:space="preserve">- Minimum 3 full-time employees</w:t>
      </w:r>
      <w:r>
        <w:t xml:space="preserve"> </w:t>
      </w:r>
      <w:r>
        <w:t xml:space="preserve">- Duties: developing funding opportunities, selecting Operating Entity through competitive process, overseeing compliance, establishing evaluation criteria</w:t>
      </w:r>
      <w:r>
        <w:t xml:space="preserve"> </w:t>
      </w:r>
      <w:r>
        <w:t xml:space="preserve">- Reporting: Annual metrics on resource utilization, research outcomes, demographic diversity</w:t>
      </w:r>
    </w:p>
    <w:p>
      <w:pPr>
        <w:pStyle w:val="Heading4"/>
      </w:pPr>
      <w:bookmarkStart w:id="45" w:name="section-5602-nairr-detailed-provisions"/>
      <w:r>
        <w:t xml:space="preserve">3.4.2 Section 5602: NAIRR Detailed Provisions</w:t>
      </w:r>
      <w:bookmarkEnd w:id="45"/>
    </w:p>
    <w:p>
      <w:pPr>
        <w:pStyle w:val="FirstParagraph"/>
      </w:pPr>
      <w:r>
        <w:rPr>
          <w:b/>
        </w:rPr>
        <w:t xml:space="preserve">Statutory Text (Pages 200-219):</w:t>
      </w:r>
    </w:p>
    <w:p>
      <w:pPr>
        <w:pStyle w:val="BodyText"/>
      </w:pPr>
      <w:r>
        <w:rPr>
          <w:b/>
        </w:rPr>
        <w:t xml:space="preserve">Establishment Purpose (Four-Fold Mandate):</w:t>
      </w:r>
      <w:r>
        <w:t xml:space="preserve"> </w:t>
      </w:r>
      <w:r>
        <w:t xml:space="preserve">1.</w:t>
      </w:r>
      <w:r>
        <w:t xml:space="preserve"> </w:t>
      </w:r>
      <w:r>
        <w:t xml:space="preserve">“</w:t>
      </w:r>
      <w:r>
        <w:t xml:space="preserve">Spur artificial intelligence innovation</w:t>
      </w:r>
      <w:r>
        <w:t xml:space="preserve">”</w:t>
      </w:r>
      <w:r>
        <w:t xml:space="preserve"> </w:t>
      </w:r>
      <w:r>
        <w:t xml:space="preserve">2.</w:t>
      </w:r>
      <w:r>
        <w:t xml:space="preserve"> </w:t>
      </w:r>
      <w:r>
        <w:t xml:space="preserve">“</w:t>
      </w:r>
      <w:r>
        <w:t xml:space="preserve">Improve access to artificial intelligence resources</w:t>
      </w:r>
      <w:r>
        <w:t xml:space="preserve">”</w:t>
      </w:r>
      <w:r>
        <w:t xml:space="preserve"> </w:t>
      </w:r>
      <w:r>
        <w:t xml:space="preserve">3.</w:t>
      </w:r>
      <w:r>
        <w:t xml:space="preserve"> </w:t>
      </w:r>
      <w:r>
        <w:t xml:space="preserve">“</w:t>
      </w:r>
      <w:r>
        <w:t xml:space="preserve">Improve research capacity</w:t>
      </w:r>
      <w:r>
        <w:t xml:space="preserve">”</w:t>
      </w:r>
      <w:r>
        <w:t xml:space="preserve"> </w:t>
      </w:r>
      <w:r>
        <w:t xml:space="preserve">4.</w:t>
      </w:r>
      <w:r>
        <w:t xml:space="preserve"> </w:t>
      </w:r>
      <w:r>
        <w:t xml:space="preserve">“</w:t>
      </w:r>
      <w:r>
        <w:t xml:space="preserve">Support testing and evaluation of artificial intelligence systems</w:t>
      </w:r>
      <w:r>
        <w:t xml:space="preserve">”</w:t>
      </w:r>
    </w:p>
    <w:p>
      <w:pPr>
        <w:pStyle w:val="BodyText"/>
      </w:pPr>
      <w:r>
        <w:rPr>
          <w:b/>
        </w:rPr>
        <w:t xml:space="preserve">Resource Categories:</w:t>
      </w:r>
    </w:p>
    <w:p>
      <w:pPr>
        <w:pStyle w:val="BodyText"/>
      </w:pPr>
      <w:r>
        <w:rPr>
          <w:b/>
        </w:rPr>
        <w:t xml:space="preserve">Computational Resources:</w:t>
      </w:r>
      <w:r>
        <w:t xml:space="preserve"> </w:t>
      </w:r>
      <w:r>
        <w:t xml:space="preserve">-</w:t>
      </w:r>
      <w:r>
        <w:t xml:space="preserve"> </w:t>
      </w:r>
      <w:r>
        <w:t xml:space="preserve">“</w:t>
      </w:r>
      <w:r>
        <w:t xml:space="preserve">On-premises computing facilities, cloud-based resources, hybrid models, and emergent computing paradigms</w:t>
      </w:r>
      <w:r>
        <w:t xml:space="preserve">”</w:t>
      </w:r>
      <w:r>
        <w:t xml:space="preserve"> </w:t>
      </w:r>
      <w:r>
        <w:t xml:space="preserve">- Federal investment in GPU/TPU infrastructure</w:t>
      </w:r>
      <w:r>
        <w:t xml:space="preserve"> </w:t>
      </w:r>
      <w:r>
        <w:t xml:space="preserve">- Access to dedicated AI training environments</w:t>
      </w:r>
    </w:p>
    <w:p>
      <w:pPr>
        <w:pStyle w:val="BodyText"/>
      </w:pPr>
      <w:r>
        <w:rPr>
          <w:b/>
        </w:rPr>
        <w:t xml:space="preserve">Data Resources:</w:t>
      </w:r>
      <w:r>
        <w:t xml:space="preserve"> </w:t>
      </w:r>
      <w:r>
        <w:t xml:space="preserve">-</w:t>
      </w:r>
      <w:r>
        <w:t xml:space="preserve"> </w:t>
      </w:r>
      <w:r>
        <w:t xml:space="preserve">“</w:t>
      </w:r>
      <w:r>
        <w:t xml:space="preserve">AI open data commons</w:t>
      </w:r>
      <w:r>
        <w:t xml:space="preserve">”</w:t>
      </w:r>
      <w:r>
        <w:t xml:space="preserve"> </w:t>
      </w:r>
      <w:r>
        <w:t xml:space="preserve">coordinated with NIST</w:t>
      </w:r>
      <w:r>
        <w:t xml:space="preserve"> </w:t>
      </w:r>
      <w:r>
        <w:t xml:space="preserve">- Data repository selection through competitive bidding</w:t>
      </w:r>
      <w:r>
        <w:t xml:space="preserve"> </w:t>
      </w:r>
      <w:r>
        <w:t xml:space="preserve">- Coordination with Interagency Council on Statistical Policy</w:t>
      </w:r>
      <w:r>
        <w:t xml:space="preserve"> </w:t>
      </w:r>
      <w:r>
        <w:t xml:space="preserve">- Curation of datasets per Sec. 941 (public data program)</w:t>
      </w:r>
    </w:p>
    <w:p>
      <w:pPr>
        <w:pStyle w:val="BodyText"/>
      </w:pPr>
      <w:r>
        <w:rPr>
          <w:b/>
        </w:rPr>
        <w:t xml:space="preserve">Educational and Tools:</w:t>
      </w:r>
      <w:r>
        <w:t xml:space="preserve"> </w:t>
      </w:r>
      <w:r>
        <w:t xml:space="preserve">-</w:t>
      </w:r>
      <w:r>
        <w:t xml:space="preserve"> </w:t>
      </w:r>
      <w:r>
        <w:t xml:space="preserve">“</w:t>
      </w:r>
      <w:r>
        <w:t xml:space="preserve">Educational tools and services for AI research and development</w:t>
      </w:r>
      <w:r>
        <w:t xml:space="preserve">”</w:t>
      </w:r>
      <w:r>
        <w:t xml:space="preserve"> </w:t>
      </w:r>
      <w:r>
        <w:t xml:space="preserve">- Training programs for researchers and students</w:t>
      </w:r>
      <w:r>
        <w:t xml:space="preserve"> </w:t>
      </w:r>
      <w:r>
        <w:t xml:space="preserve">- Documentation and best practices</w:t>
      </w:r>
      <w:r>
        <w:t xml:space="preserve"> </w:t>
      </w:r>
      <w:r>
        <w:t xml:space="preserve">- Skill development programs</w:t>
      </w:r>
    </w:p>
    <w:p>
      <w:pPr>
        <w:pStyle w:val="BodyText"/>
      </w:pPr>
      <w:r>
        <w:rPr>
          <w:b/>
        </w:rPr>
        <w:t xml:space="preserve">AI Testbeds (Sec. 5603):</w:t>
      </w:r>
      <w:r>
        <w:t xml:space="preserve"> </w:t>
      </w:r>
      <w:r>
        <w:t xml:space="preserve">- Evaluation infrastructure for</w:t>
      </w:r>
      <w:r>
        <w:t xml:space="preserve"> </w:t>
      </w:r>
      <w:r>
        <w:t xml:space="preserve">“</w:t>
      </w:r>
      <w:r>
        <w:t xml:space="preserve">testing, validation, and benchmarking of AI systems</w:t>
      </w:r>
      <w:r>
        <w:t xml:space="preserve">”</w:t>
      </w:r>
      <w:r>
        <w:t xml:space="preserve"> </w:t>
      </w:r>
      <w:r>
        <w:t xml:space="preserve">- Standardized evaluation metrics</w:t>
      </w:r>
      <w:r>
        <w:t xml:space="preserve"> </w:t>
      </w:r>
      <w:r>
        <w:t xml:space="preserve">- Benchmarking against NIST AI RMF functions</w:t>
      </w:r>
      <w:r>
        <w:t xml:space="preserve"> </w:t>
      </w:r>
      <w:r>
        <w:t xml:space="preserve">- Support for red-team adversarial testing</w:t>
      </w:r>
    </w:p>
    <w:p>
      <w:pPr>
        <w:pStyle w:val="Heading4"/>
      </w:pPr>
      <w:bookmarkStart w:id="46" w:name="X622286dec0242b3122d7c7afb0a62dadff1fa94"/>
      <w:r>
        <w:t xml:space="preserve">3.4.3 Section 5604: User Eligibility and Access Controls</w:t>
      </w:r>
      <w:bookmarkEnd w:id="46"/>
    </w:p>
    <w:p>
      <w:pPr>
        <w:pStyle w:val="FirstParagraph"/>
      </w:pPr>
      <w:r>
        <w:rPr>
          <w:b/>
        </w:rPr>
        <w:t xml:space="preserve">Statutory Text (Pages 200-219):</w:t>
      </w:r>
    </w:p>
    <w:p>
      <w:pPr>
        <w:pStyle w:val="BodyText"/>
      </w:pPr>
      <w:r>
        <w:rPr>
          <w:b/>
        </w:rPr>
        <w:t xml:space="preserve">Eligible Users:</w:t>
      </w:r>
      <w:r>
        <w:t xml:space="preserve"> </w:t>
      </w:r>
      <w:r>
        <w:t xml:space="preserve">-</w:t>
      </w:r>
      <w:r>
        <w:t xml:space="preserve"> </w:t>
      </w:r>
      <w:r>
        <w:t xml:space="preserve">“</w:t>
      </w:r>
      <w:r>
        <w:t xml:space="preserve">U.S.-based researchers, educators, and students affiliated with qualifying entities</w:t>
      </w:r>
      <w:r>
        <w:t xml:space="preserve">”</w:t>
      </w:r>
      <w:r>
        <w:t xml:space="preserve"> </w:t>
      </w:r>
      <w:r>
        <w:t xml:space="preserve">- Qualifying entities: accredited universities, nonprofit research institutions, federal laboratories, eligible for-profit entities meeting criteria</w:t>
      </w:r>
    </w:p>
    <w:p>
      <w:pPr>
        <w:pStyle w:val="BodyText"/>
      </w:pPr>
      <w:r>
        <w:rPr>
          <w:b/>
        </w:rPr>
        <w:t xml:space="preserve">Exclusions (National Security Provision):</w:t>
      </w:r>
      <w:r>
        <w:t xml:space="preserve"> </w:t>
      </w:r>
      <w:r>
        <w:t xml:space="preserve">“</w:t>
      </w:r>
      <w:r>
        <w:t xml:space="preserve">Individuals employed by or affiliated with foreign countries designated as state sponsors of terrorism or engaged in industrial espionage shall be excluded from access.</w:t>
      </w:r>
      <w:r>
        <w:t xml:space="preserve">”</w:t>
      </w:r>
    </w:p>
    <w:p>
      <w:pPr>
        <w:pStyle w:val="BodyText"/>
      </w:pPr>
      <w:r>
        <w:rPr>
          <w:b/>
        </w:rPr>
        <w:t xml:space="preserve">Access Restrictions:</w:t>
      </w:r>
      <w:r>
        <w:t xml:space="preserve"> </w:t>
      </w:r>
      <w:r>
        <w:t xml:space="preserve">- U.S. persons preference</w:t>
      </w:r>
      <w:r>
        <w:t xml:space="preserve"> </w:t>
      </w:r>
      <w:r>
        <w:t xml:space="preserve">- Export control compliance for foreign national researchers</w:t>
      </w:r>
      <w:r>
        <w:t xml:space="preserve"> </w:t>
      </w:r>
      <w:r>
        <w:t xml:space="preserve">- Technology control plan for sensitive systems</w:t>
      </w:r>
    </w:p>
    <w:p>
      <w:pPr>
        <w:pStyle w:val="BodyText"/>
      </w:pPr>
      <w:r>
        <w:rPr>
          <w:b/>
        </w:rPr>
        <w:t xml:space="preserve">Privacy and Ethics Requirements:</w:t>
      </w:r>
      <w:r>
        <w:t xml:space="preserve"> </w:t>
      </w:r>
      <w:r>
        <w:t xml:space="preserve">-</w:t>
      </w:r>
      <w:r>
        <w:t xml:space="preserve"> </w:t>
      </w:r>
      <w:r>
        <w:t xml:space="preserve">“</w:t>
      </w:r>
      <w:r>
        <w:t xml:space="preserve">Privacy, ethics, and civil rights reviews for all NAIRR resource applications</w:t>
      </w:r>
      <w:r>
        <w:t xml:space="preserve">”</w:t>
      </w:r>
      <w:r>
        <w:t xml:space="preserve"> </w:t>
      </w:r>
      <w:r>
        <w:t xml:space="preserve">- IRB approval for human subject research</w:t>
      </w:r>
      <w:r>
        <w:t xml:space="preserve"> </w:t>
      </w:r>
      <w:r>
        <w:t xml:space="preserve">- Bias and fairness assessment</w:t>
      </w:r>
      <w:r>
        <w:t xml:space="preserve"> </w:t>
      </w:r>
      <w:r>
        <w:t xml:space="preserve">- Transparency in training data provenance</w:t>
      </w:r>
    </w:p>
    <w:p>
      <w:pPr>
        <w:pStyle w:val="BodyText"/>
      </w:pPr>
      <w:r>
        <w:rPr>
          <w:b/>
        </w:rPr>
        <w:t xml:space="preserve">System Security:</w:t>
      </w:r>
      <w:r>
        <w:t xml:space="preserve"> </w:t>
      </w:r>
      <w:r>
        <w:t xml:space="preserve">-</w:t>
      </w:r>
      <w:r>
        <w:t xml:space="preserve"> </w:t>
      </w:r>
      <w:r>
        <w:t xml:space="preserve">“</w:t>
      </w:r>
      <w:r>
        <w:t xml:space="preserve">Security measures consistent with NIST Cybersecurity Framework</w:t>
      </w:r>
      <w:r>
        <w:t xml:space="preserve">”</w:t>
      </w:r>
      <w:r>
        <w:t xml:space="preserve"> </w:t>
      </w:r>
      <w:r>
        <w:t xml:space="preserve">- Intrusion detection</w:t>
      </w:r>
      <w:r>
        <w:t xml:space="preserve"> </w:t>
      </w:r>
      <w:r>
        <w:t xml:space="preserve">- Access logging and audit trails</w:t>
      </w:r>
      <w:r>
        <w:t xml:space="preserve"> </w:t>
      </w:r>
      <w:r>
        <w:t xml:space="preserve">- Data encryption at rest and in transit</w:t>
      </w:r>
    </w:p>
    <w:p>
      <w:pPr>
        <w:pStyle w:val="BodyText"/>
      </w:pPr>
      <w:r>
        <w:rPr>
          <w:b/>
        </w:rPr>
        <w:t xml:space="preserve">Fee Schedule:</w:t>
      </w:r>
      <w:r>
        <w:t xml:space="preserve"> </w:t>
      </w:r>
      <w:r>
        <w:t xml:space="preserve">- Free tier: Basic access to standard computational and data resources</w:t>
      </w:r>
      <w:r>
        <w:t xml:space="preserve"> </w:t>
      </w:r>
      <w:r>
        <w:t xml:space="preserve">- Cost-based charges: Additional resources charged at fair market rates</w:t>
      </w:r>
      <w:r>
        <w:t xml:space="preserve"> </w:t>
      </w:r>
      <w:r>
        <w:t xml:space="preserve">- No exclusion based on inability to pay for basic tier</w:t>
      </w:r>
    </w:p>
    <w:p>
      <w:pPr>
        <w:pStyle w:val="BodyText"/>
      </w:pPr>
      <w:r>
        <w:rPr>
          <w:b/>
        </w:rPr>
        <w:t xml:space="preserve">Interoperability with NIST AI RMF:</w:t>
      </w:r>
      <w:r>
        <w:t xml:space="preserve"> </w:t>
      </w:r>
      <w:r>
        <w:t xml:space="preserve">NAIRR infrastructure directly supports Measure function (standardized evaluation) and Manage function (testing and risk assessment).</w:t>
      </w:r>
    </w:p>
    <w:p>
      <w:r>
        <w:pict>
          <v:rect style="width:0;height:1.5pt" o:hralign="center" o:hrstd="t" o:hr="t"/>
        </w:pict>
      </w:r>
    </w:p>
    <w:p>
      <w:pPr>
        <w:pStyle w:val="Heading3"/>
      </w:pPr>
      <w:bookmarkStart w:id="47" w:name="X4ff5e6f805512cb8a69f90b6ea30e5c2599d6cf"/>
      <w:r>
        <w:t xml:space="preserve">3.5 TITLE XII: DIGITAL REPLICA RIGHTS AND VOICE/VISUAL LIKENESS PROTECTION (Sec. 1101-1202)</w:t>
      </w:r>
      <w:bookmarkEnd w:id="47"/>
    </w:p>
    <w:p>
      <w:pPr>
        <w:pStyle w:val="Heading4"/>
      </w:pPr>
      <w:bookmarkStart w:id="48" w:name="X47e11b79bc4058644a3ec1f1a6ff78d76898fe7"/>
      <w:r>
        <w:t xml:space="preserve">3.5.1 Section 1202: Comprehensive Digital Replica Rights Framework</w:t>
      </w:r>
      <w:bookmarkEnd w:id="48"/>
    </w:p>
    <w:p>
      <w:pPr>
        <w:pStyle w:val="FirstParagraph"/>
      </w:pPr>
      <w:r>
        <w:rPr>
          <w:b/>
        </w:rPr>
        <w:t xml:space="preserve">Statutory Text (Pages 220-239):</w:t>
      </w:r>
    </w:p>
    <w:p>
      <w:pPr>
        <w:pStyle w:val="BodyText"/>
      </w:pPr>
      <w:r>
        <w:rPr>
          <w:b/>
        </w:rPr>
        <w:t xml:space="preserve">Key Definitions:</w:t>
      </w:r>
    </w:p>
    <w:p>
      <w:pPr>
        <w:pStyle w:val="BodyText"/>
      </w:pPr>
      <w:r>
        <w:rPr>
          <w:b/>
        </w:rPr>
        <w:t xml:space="preserve">Digital Fingerprint:</w:t>
      </w:r>
      <w:r>
        <w:t xml:space="preserve"> </w:t>
      </w:r>
      <w:r>
        <w:t xml:space="preserve">“</w:t>
      </w:r>
      <w:r>
        <w:t xml:space="preserve">A unique cryptographic hash or other digital identifier embedded in or associated with a digital replica to verify authenticity and origin.</w:t>
      </w:r>
      <w:r>
        <w:t xml:space="preserve">”</w:t>
      </w:r>
    </w:p>
    <w:p>
      <w:pPr>
        <w:pStyle w:val="BodyText"/>
      </w:pPr>
      <w:r>
        <w:rPr>
          <w:b/>
        </w:rPr>
        <w:t xml:space="preserve">Digital Replica:</w:t>
      </w:r>
      <w:r>
        <w:t xml:space="preserve"> </w:t>
      </w:r>
      <w:r>
        <w:t xml:space="preserve">“</w:t>
      </w:r>
      <w:r>
        <w:t xml:space="preserve">A newly created, computer-generated, or synthetically produced highly realistic electronic representation of a person’s voice, visual likeness, or both.</w:t>
      </w:r>
      <w:r>
        <w:t xml:space="preserve">”</w:t>
      </w:r>
    </w:p>
    <w:p>
      <w:pPr>
        <w:pStyle w:val="BodyText"/>
      </w:pPr>
      <w:r>
        <w:rPr>
          <w:b/>
        </w:rPr>
        <w:t xml:space="preserve">Individual:</w:t>
      </w:r>
      <w:r>
        <w:t xml:space="preserve"> </w:t>
      </w:r>
      <w:r>
        <w:t xml:space="preserve">“</w:t>
      </w:r>
      <w:r>
        <w:t xml:space="preserve">A human being, whether living or deceased.</w:t>
      </w:r>
      <w:r>
        <w:t xml:space="preserve">”</w:t>
      </w:r>
    </w:p>
    <w:p>
      <w:pPr>
        <w:pStyle w:val="BodyText"/>
      </w:pPr>
      <w:r>
        <w:rPr>
          <w:b/>
        </w:rPr>
        <w:t xml:space="preserve">Right Holder:</w:t>
      </w:r>
      <w:r>
        <w:t xml:space="preserve"> </w:t>
      </w:r>
      <w:r>
        <w:t xml:space="preserve">“</w:t>
      </w:r>
      <w:r>
        <w:t xml:space="preserve">An individual or entity with authorized use rights to a person’s voice or visual likeness.</w:t>
      </w:r>
      <w:r>
        <w:t xml:space="preserve">”</w:t>
      </w:r>
    </w:p>
    <w:p>
      <w:pPr>
        <w:pStyle w:val="BodyText"/>
      </w:pPr>
      <w:r>
        <w:rPr>
          <w:b/>
        </w:rPr>
        <w:t xml:space="preserve">Interactive Computer Service and Online Service:</w:t>
      </w:r>
      <w:r>
        <w:t xml:space="preserve"> </w:t>
      </w:r>
      <w:r>
        <w:t xml:space="preserve">Defined with thresholds:</w:t>
      </w:r>
      <w:r>
        <w:t xml:space="preserve"> </w:t>
      </w:r>
      <w:r>
        <w:t xml:space="preserve">- $50 million annual revenue, OR</w:t>
      </w:r>
      <w:r>
        <w:t xml:space="preserve"> </w:t>
      </w:r>
      <w:r>
        <w:t xml:space="preserve">- 25 million monthly active users</w:t>
      </w:r>
    </w:p>
    <w:p>
      <w:pPr>
        <w:pStyle w:val="BodyText"/>
      </w:pPr>
      <w:r>
        <w:rPr>
          <w:b/>
        </w:rPr>
        <w:t xml:space="preserve">Digital Replication Rights (Sec. 1202(c)):</w:t>
      </w:r>
    </w:p>
    <w:p>
      <w:pPr>
        <w:pStyle w:val="BodyText"/>
      </w:pPr>
      <w:r>
        <w:t xml:space="preserve">Right characteristics:</w:t>
      </w:r>
      <w:r>
        <w:t xml:space="preserve"> </w:t>
      </w:r>
      <w:r>
        <w:t xml:space="preserve">- Property right (assignable and licenseable)</w:t>
      </w:r>
      <w:r>
        <w:t xml:space="preserve"> </w:t>
      </w:r>
      <w:r>
        <w:t xml:space="preserve">-</w:t>
      </w:r>
      <w:r>
        <w:t xml:space="preserve"> </w:t>
      </w:r>
      <w:r>
        <w:rPr>
          <w:b/>
        </w:rPr>
        <w:t xml:space="preserve">NOT assignable during life</w:t>
      </w:r>
      <w:r>
        <w:t xml:space="preserve"> </w:t>
      </w:r>
      <w:r>
        <w:t xml:space="preserve">(personal autonomy protection)</w:t>
      </w:r>
      <w:r>
        <w:t xml:space="preserve"> </w:t>
      </w:r>
      <w:r>
        <w:t xml:space="preserve">- Licenseable for specified uses</w:t>
      </w:r>
      <w:r>
        <w:t xml:space="preserve"> </w:t>
      </w:r>
      <w:r>
        <w:t xml:space="preserve">- Does NOT expire at death for original rights holder</w:t>
      </w:r>
    </w:p>
    <w:p>
      <w:pPr>
        <w:pStyle w:val="BodyText"/>
      </w:pPr>
      <w:r>
        <w:rPr>
          <w:b/>
        </w:rPr>
        <w:t xml:space="preserve">Post-Mortem Rights Transfer (Sec. 1202(d)):</w:t>
      </w:r>
      <w:r>
        <w:t xml:space="preserve"> </w:t>
      </w:r>
      <w:r>
        <w:t xml:space="preserve">- Transferable to estate heirs</w:t>
      </w:r>
      <w:r>
        <w:t xml:space="preserve"> </w:t>
      </w:r>
      <w:r>
        <w:t xml:space="preserve">- Licenseable rights extend to 10-year exclusivity period</w:t>
      </w:r>
      <w:r>
        <w:t xml:space="preserve"> </w:t>
      </w:r>
      <w:r>
        <w:t xml:space="preserve">- 70 years post-death OR 10-year + 5-year renewal cycles</w:t>
      </w:r>
      <w:r>
        <w:t xml:space="preserve"> </w:t>
      </w:r>
      <w:r>
        <w:t xml:space="preserve">- Extends copyright-like duration to digital likeness</w:t>
      </w:r>
    </w:p>
    <w:p>
      <w:pPr>
        <w:pStyle w:val="BodyText"/>
      </w:pPr>
      <w:r>
        <w:rPr>
          <w:b/>
        </w:rPr>
        <w:t xml:space="preserve">License Requirements:</w:t>
      </w:r>
      <w:r>
        <w:t xml:space="preserve"> </w:t>
      </w:r>
      <w:r>
        <w:t xml:space="preserve">- Written agreement (no oral licenses)</w:t>
      </w:r>
      <w:r>
        <w:t xml:space="preserve"> </w:t>
      </w:r>
      <w:r>
        <w:t xml:space="preserve">-</w:t>
      </w:r>
      <w:r>
        <w:t xml:space="preserve"> </w:t>
      </w:r>
      <w:r>
        <w:t xml:space="preserve">“</w:t>
      </w:r>
      <w:r>
        <w:t xml:space="preserve">Reasonably specific description of intended uses</w:t>
      </w:r>
      <w:r>
        <w:t xml:space="preserve">”</w:t>
      </w:r>
      <w:r>
        <w:t xml:space="preserve"> </w:t>
      </w:r>
      <w:r>
        <w:t xml:space="preserve">- Scope limitation (approved uses only)</w:t>
      </w:r>
      <w:r>
        <w:t xml:space="preserve"> </w:t>
      </w:r>
      <w:r>
        <w:t xml:space="preserve">- Duration specification</w:t>
      </w:r>
    </w:p>
    <w:p>
      <w:pPr>
        <w:pStyle w:val="BodyText"/>
      </w:pPr>
      <w:r>
        <w:rPr>
          <w:b/>
        </w:rPr>
        <w:t xml:space="preserve">Minor Licenses (Special Protection):</w:t>
      </w:r>
      <w:r>
        <w:t xml:space="preserve"> </w:t>
      </w:r>
      <w:r>
        <w:t xml:space="preserve">- Limited to 5 years maximum duration</w:t>
      </w:r>
      <w:r>
        <w:t xml:space="preserve"> </w:t>
      </w:r>
      <w:r>
        <w:t xml:space="preserve">- Terminate automatically at age 18 (minor’s right to reclaim)</w:t>
      </w:r>
      <w:r>
        <w:t xml:space="preserve"> </w:t>
      </w:r>
      <w:r>
        <w:t xml:space="preserve">- Parental/guardian authorization required</w:t>
      </w:r>
      <w:r>
        <w:t xml:space="preserve"> </w:t>
      </w:r>
      <w:r>
        <w:t xml:space="preserve">- Minor may void consent at age of majority</w:t>
      </w:r>
    </w:p>
    <w:p>
      <w:pPr>
        <w:pStyle w:val="BodyText"/>
      </w:pPr>
      <w:r>
        <w:rPr>
          <w:b/>
        </w:rPr>
        <w:t xml:space="preserve">Collective Bargaining Agreement Exception:</w:t>
      </w:r>
      <w:r>
        <w:t xml:space="preserve"> </w:t>
      </w:r>
      <w:r>
        <w:t xml:space="preserve">Union agreements may modify default rules for represented workers’ image rights.</w:t>
      </w:r>
    </w:p>
    <w:p>
      <w:pPr>
        <w:pStyle w:val="Heading4"/>
      </w:pPr>
      <w:bookmarkStart w:id="49" w:name="X964348ae1ff401c08a5045d3ff0f1ce988908cc"/>
      <w:r>
        <w:t xml:space="preserve">3.5.2 Section 1101: Data Center Electricity Commitments</w:t>
      </w:r>
      <w:bookmarkEnd w:id="49"/>
    </w:p>
    <w:p>
      <w:pPr>
        <w:pStyle w:val="FirstParagraph"/>
      </w:pPr>
      <w:r>
        <w:rPr>
          <w:b/>
        </w:rPr>
        <w:t xml:space="preserve">Statutory Text (Pages 220-239):</w:t>
      </w:r>
    </w:p>
    <w:p>
      <w:pPr>
        <w:pStyle w:val="BodyText"/>
      </w:pPr>
      <w:r>
        <w:rPr>
          <w:b/>
        </w:rPr>
        <w:t xml:space="preserve">Covered Entities:</w:t>
      </w:r>
      <w:r>
        <w:t xml:space="preserve"> </w:t>
      </w:r>
      <w:r>
        <w:t xml:space="preserve">AI developers meeting covered entity threshold (revenue ≥ $500M or data on ≥ 1M individuals)</w:t>
      </w:r>
    </w:p>
    <w:p>
      <w:pPr>
        <w:pStyle w:val="BodyText"/>
      </w:pPr>
      <w:r>
        <w:rPr>
          <w:b/>
        </w:rPr>
        <w:t xml:space="preserve">Commitments Required:</w:t>
      </w:r>
      <w:r>
        <w:t xml:space="preserve"> </w:t>
      </w:r>
      <w:r>
        <w:t xml:space="preserve">- Build or purchase generation resources to offset electricity consumption</w:t>
      </w:r>
      <w:r>
        <w:t xml:space="preserve"> </w:t>
      </w:r>
      <w:r>
        <w:t xml:space="preserve">- Pay for power delivery infrastructure upgrades</w:t>
      </w:r>
      <w:r>
        <w:t xml:space="preserve"> </w:t>
      </w:r>
      <w:r>
        <w:t xml:space="preserve">- Negotiate separate rate structures with utilities</w:t>
      </w:r>
      <w:r>
        <w:t xml:space="preserve"> </w:t>
      </w:r>
      <w:r>
        <w:t xml:space="preserve">- Achieve electricity self-sufficiency within specified timeline</w:t>
      </w:r>
    </w:p>
    <w:p>
      <w:pPr>
        <w:pStyle w:val="BodyText"/>
      </w:pPr>
      <w:r>
        <w:rPr>
          <w:b/>
        </w:rPr>
        <w:t xml:space="preserve">Worker Protections:</w:t>
      </w:r>
      <w:r>
        <w:t xml:space="preserve"> </w:t>
      </w:r>
      <w:r>
        <w:t xml:space="preserve">- Local hiring preferences</w:t>
      </w:r>
      <w:r>
        <w:t xml:space="preserve"> </w:t>
      </w:r>
      <w:r>
        <w:t xml:space="preserve">- Skills development programs</w:t>
      </w:r>
      <w:r>
        <w:t xml:space="preserve"> </w:t>
      </w:r>
      <w:r>
        <w:t xml:space="preserve">- Union workforce opportunities</w:t>
      </w:r>
    </w:p>
    <w:p>
      <w:pPr>
        <w:pStyle w:val="BodyText"/>
      </w:pPr>
      <w:r>
        <w:rPr>
          <w:b/>
        </w:rPr>
        <w:t xml:space="preserve">Grid Resilience Requirements:</w:t>
      </w:r>
      <w:r>
        <w:t xml:space="preserve"> </w:t>
      </w:r>
      <w:r>
        <w:t xml:space="preserve">- Coordination with grid operators</w:t>
      </w:r>
      <w:r>
        <w:t xml:space="preserve"> </w:t>
      </w:r>
      <w:r>
        <w:t xml:space="preserve">- Backup generation availability</w:t>
      </w:r>
      <w:r>
        <w:t xml:space="preserve"> </w:t>
      </w:r>
      <w:r>
        <w:t xml:space="preserve">- Demand response capabilities</w:t>
      </w:r>
      <w:r>
        <w:t xml:space="preserve"> </w:t>
      </w:r>
      <w:r>
        <w:t xml:space="preserve">- Load forecasting transparency</w:t>
      </w:r>
    </w:p>
    <w:p>
      <w:pPr>
        <w:pStyle w:val="BodyText"/>
      </w:pPr>
      <w:r>
        <w:rPr>
          <w:b/>
        </w:rPr>
        <w:t xml:space="preserve">Policy Objective:</w:t>
      </w:r>
      <w:r>
        <w:t xml:space="preserve"> </w:t>
      </w:r>
      <w:r>
        <w:t xml:space="preserve">Link AI infrastructure deployment to electricity decarbonization and grid stability.</w:t>
      </w:r>
    </w:p>
    <w:p>
      <w:r>
        <w:pict>
          <v:rect style="width:0;height:1.5pt" o:hralign="center" o:hrstd="t" o:hr="t"/>
        </w:pict>
      </w:r>
    </w:p>
    <w:p>
      <w:pPr>
        <w:pStyle w:val="Heading3"/>
      </w:pPr>
      <w:bookmarkStart w:id="50" w:name="X7381774ac47f085d981d3461ea763145b35237c"/>
      <w:r>
        <w:t xml:space="preserve">3.6 TITLE XIV: CONTENT ORIGIN PROTECTION AND INTEGRITY (Sec. 1401-1407)</w:t>
      </w:r>
      <w:bookmarkEnd w:id="50"/>
    </w:p>
    <w:p>
      <w:pPr>
        <w:pStyle w:val="Heading4"/>
      </w:pPr>
      <w:bookmarkStart w:id="51" w:name="section-1402-comprehensive-definitions"/>
      <w:r>
        <w:t xml:space="preserve">3.6.1 Section 1402: Comprehensive Definitions</w:t>
      </w:r>
      <w:bookmarkEnd w:id="51"/>
    </w:p>
    <w:p>
      <w:pPr>
        <w:pStyle w:val="FirstParagraph"/>
      </w:pPr>
      <w:r>
        <w:rPr>
          <w:b/>
        </w:rPr>
        <w:t xml:space="preserve">Statutory Text (Pages 260-279):</w:t>
      </w:r>
    </w:p>
    <w:p>
      <w:pPr>
        <w:pStyle w:val="BodyText"/>
      </w:pPr>
      <w:r>
        <w:rPr>
          <w:b/>
        </w:rPr>
        <w:t xml:space="preserve">AI Blueteaming:</w:t>
      </w:r>
      <w:r>
        <w:t xml:space="preserve"> </w:t>
      </w:r>
      <w:r>
        <w:t xml:space="preserve">“</w:t>
      </w:r>
      <w:r>
        <w:t xml:space="preserve">Operational vulnerability evaluation and mitigation techniques to identify and address AI system weaknesses, including but not limited to prompt injection attacks, model extraction, and adversarial inputs.</w:t>
      </w:r>
      <w:r>
        <w:t xml:space="preserve">”</w:t>
      </w:r>
    </w:p>
    <w:p>
      <w:pPr>
        <w:pStyle w:val="BodyText"/>
      </w:pPr>
      <w:r>
        <w:rPr>
          <w:b/>
        </w:rPr>
        <w:t xml:space="preserve">AI Redteaming:</w:t>
      </w:r>
      <w:r>
        <w:t xml:space="preserve"> </w:t>
      </w:r>
      <w:r>
        <w:t xml:space="preserve">“</w:t>
      </w:r>
      <w:r>
        <w:t xml:space="preserve">Structured adversarial testing to identify risks, flaws, vulnerabilities, harmful outputs, undesirable behaviors, and limitations in artificial intelligence systems.</w:t>
      </w:r>
      <w:r>
        <w:t xml:space="preserve">”</w:t>
      </w:r>
    </w:p>
    <w:p>
      <w:pPr>
        <w:pStyle w:val="BodyText"/>
      </w:pPr>
      <w:r>
        <w:rPr>
          <w:b/>
        </w:rPr>
        <w:t xml:space="preserve">Content Provenance Information:</w:t>
      </w:r>
      <w:r>
        <w:t xml:space="preserve"> </w:t>
      </w:r>
      <w:r>
        <w:t xml:space="preserve">“</w:t>
      </w:r>
      <w:r>
        <w:t xml:space="preserve">State-of-the-art machine-readable information documenting the origin, history, modifications, and authenticity of digital content.</w:t>
      </w:r>
      <w:r>
        <w:t xml:space="preserve">”</w:t>
      </w:r>
    </w:p>
    <w:p>
      <w:pPr>
        <w:pStyle w:val="BodyText"/>
      </w:pPr>
      <w:r>
        <w:rPr>
          <w:b/>
        </w:rPr>
        <w:t xml:space="preserve">Covered Content:</w:t>
      </w:r>
      <w:r>
        <w:t xml:space="preserve"> </w:t>
      </w:r>
      <w:r>
        <w:t xml:space="preserve">“</w:t>
      </w:r>
      <w:r>
        <w:t xml:space="preserve">Digital representation of a copyrighted work as defined in 17 U.S.C. Section 102.</w:t>
      </w:r>
      <w:r>
        <w:t xml:space="preserve">”</w:t>
      </w:r>
    </w:p>
    <w:p>
      <w:pPr>
        <w:pStyle w:val="BodyText"/>
      </w:pPr>
      <w:r>
        <w:rPr>
          <w:b/>
        </w:rPr>
        <w:t xml:space="preserve">Covered Platform:</w:t>
      </w:r>
      <w:r>
        <w:t xml:space="preserve"> </w:t>
      </w:r>
      <w:r>
        <w:t xml:space="preserve">“</w:t>
      </w:r>
      <w:r>
        <w:t xml:space="preserve">Website, internet application, or mobile application with $50 million annual revenue or 25 million monthly active users.</w:t>
      </w:r>
      <w:r>
        <w:t xml:space="preserve">”</w:t>
      </w:r>
    </w:p>
    <w:p>
      <w:pPr>
        <w:pStyle w:val="BodyText"/>
      </w:pPr>
      <w:r>
        <w:rPr>
          <w:b/>
        </w:rPr>
        <w:t xml:space="preserve">Deepfake:</w:t>
      </w:r>
      <w:r>
        <w:t xml:space="preserve"> </w:t>
      </w:r>
      <w:r>
        <w:t xml:space="preserve">“</w:t>
      </w:r>
      <w:r>
        <w:t xml:space="preserve">Synthetic or synthetically-modified content that appears authentic to a reasonable person and creates false understanding or impression of events, identity, or statements.</w:t>
      </w:r>
      <w:r>
        <w:t xml:space="preserve">”</w:t>
      </w:r>
    </w:p>
    <w:p>
      <w:pPr>
        <w:pStyle w:val="BodyText"/>
      </w:pPr>
      <w:r>
        <w:rPr>
          <w:b/>
        </w:rPr>
        <w:t xml:space="preserve">Synthetic Content:</w:t>
      </w:r>
      <w:r>
        <w:t xml:space="preserve"> </w:t>
      </w:r>
      <w:r>
        <w:t xml:space="preserve">“</w:t>
      </w:r>
      <w:r>
        <w:t xml:space="preserve">Information wholly generated by algorithms, including artificial intelligence systems, without human creation of underlying content.</w:t>
      </w:r>
      <w:r>
        <w:t xml:space="preserve">”</w:t>
      </w:r>
    </w:p>
    <w:p>
      <w:pPr>
        <w:pStyle w:val="BodyText"/>
      </w:pPr>
      <w:r>
        <w:rPr>
          <w:b/>
        </w:rPr>
        <w:t xml:space="preserve">Synthetically-Modified Content:</w:t>
      </w:r>
      <w:r>
        <w:t xml:space="preserve"> </w:t>
      </w:r>
      <w:r>
        <w:t xml:space="preserve">“</w:t>
      </w:r>
      <w:r>
        <w:t xml:space="preserve">Information significantly modified by algorithmic or artificial intelligence processing from original human-created content.</w:t>
      </w:r>
      <w:r>
        <w:t xml:space="preserve">”</w:t>
      </w:r>
    </w:p>
    <w:p>
      <w:pPr>
        <w:pStyle w:val="BodyText"/>
      </w:pPr>
      <w:r>
        <w:rPr>
          <w:b/>
        </w:rPr>
        <w:t xml:space="preserve">Watermarking:</w:t>
      </w:r>
      <w:r>
        <w:t xml:space="preserve"> </w:t>
      </w:r>
      <w:r>
        <w:t xml:space="preserve">“</w:t>
      </w:r>
      <w:r>
        <w:t xml:space="preserve">Embedding information difficult to remove or alter to verify authenticity, identity, system characteristics, provenance, and modification history.</w:t>
      </w:r>
      <w:r>
        <w:t xml:space="preserve">”</w:t>
      </w:r>
    </w:p>
    <w:p>
      <w:pPr>
        <w:pStyle w:val="Heading4"/>
      </w:pPr>
      <w:bookmarkStart w:id="52" w:name="Xcb69274dbd6f1ffdff026add8a6deeb8b84f143"/>
      <w:r>
        <w:t xml:space="preserve">3.6.2 Section 1403: Standards Development Facilitation</w:t>
      </w:r>
      <w:bookmarkEnd w:id="52"/>
    </w:p>
    <w:p>
      <w:pPr>
        <w:pStyle w:val="FirstParagraph"/>
      </w:pPr>
      <w:r>
        <w:rPr>
          <w:b/>
        </w:rPr>
        <w:t xml:space="preserve">Statutory Text (Pages 260-279):</w:t>
      </w:r>
    </w:p>
    <w:p>
      <w:pPr>
        <w:pStyle w:val="BodyText"/>
      </w:pPr>
      <w:r>
        <w:rPr>
          <w:b/>
        </w:rPr>
        <w:t xml:space="preserve">Public-Private Partnership:</w:t>
      </w:r>
      <w:r>
        <w:t xml:space="preserve"> </w:t>
      </w:r>
      <w:r>
        <w:t xml:space="preserve">“</w:t>
      </w:r>
      <w:r>
        <w:t xml:space="preserve">Under the Under Secretary of Commerce for Standards and Technology [NIST] shall establish public-private partnerships to develop:</w:t>
      </w:r>
      <w:r>
        <w:t xml:space="preserve"> </w:t>
      </w:r>
      <w:r>
        <w:t xml:space="preserve">- (1) Guidelines and voluntary, consensus-based standards for watermarking, content provenance information, and synthetic/synthetically-modified content detection</w:t>
      </w:r>
      <w:r>
        <w:t xml:space="preserve"> </w:t>
      </w:r>
      <w:r>
        <w:t xml:space="preserve">- (2) Detection standards for images, audio, video, text, and multimodal content</w:t>
      </w:r>
      <w:r>
        <w:t xml:space="preserve"> </w:t>
      </w:r>
      <w:r>
        <w:t xml:space="preserve">- (3) Countermeasures against tampering with detection tools and content provenance information</w:t>
      </w:r>
      <w:r>
        <w:t xml:space="preserve">”</w:t>
      </w:r>
    </w:p>
    <w:p>
      <w:pPr>
        <w:pStyle w:val="BodyText"/>
      </w:pPr>
      <w:r>
        <w:rPr>
          <w:b/>
        </w:rPr>
        <w:t xml:space="preserve">Grand Challenges:</w:t>
      </w:r>
      <w:r>
        <w:t xml:space="preserve"> </w:t>
      </w:r>
      <w:r>
        <w:t xml:space="preserve">“</w:t>
      </w:r>
      <w:r>
        <w:t xml:space="preserve">Coordinate with DARPA and NSF to establish grand challenges for detection and labeling of synthetic content with research prizes.</w:t>
      </w:r>
      <w:r>
        <w:t xml:space="preserve">”</w:t>
      </w:r>
    </w:p>
    <w:p>
      <w:pPr>
        <w:pStyle w:val="BodyText"/>
      </w:pPr>
      <w:r>
        <w:rPr>
          <w:b/>
        </w:rPr>
        <w:t xml:space="preserve">Standards Development Role:</w:t>
      </w:r>
      <w:r>
        <w:t xml:space="preserve"> </w:t>
      </w:r>
      <w:r>
        <w:t xml:space="preserve">NIST positioned as convening authority for technical standards development with industry, academia, and civil society participation.</w:t>
      </w:r>
    </w:p>
    <w:p>
      <w:pPr>
        <w:pStyle w:val="Heading4"/>
      </w:pPr>
      <w:bookmarkStart w:id="53" w:name="X305a01fd40037001495c5ebc52a307c56d2e5db"/>
      <w:r>
        <w:t xml:space="preserve">3.6.3 Section 1404: NIST Research and Development Obligations</w:t>
      </w:r>
      <w:bookmarkEnd w:id="53"/>
    </w:p>
    <w:p>
      <w:pPr>
        <w:pStyle w:val="FirstParagraph"/>
      </w:pPr>
      <w:r>
        <w:rPr>
          <w:b/>
        </w:rPr>
        <w:t xml:space="preserve">Statutory Text (Pages 260-279):</w:t>
      </w:r>
    </w:p>
    <w:p>
      <w:pPr>
        <w:pStyle w:val="BodyText"/>
      </w:pPr>
      <w:r>
        <w:t xml:space="preserve">“</w:t>
      </w:r>
      <w:r>
        <w:t xml:space="preserve">NIST shall conduct research and development on:</w:t>
      </w:r>
      <w:r>
        <w:t xml:space="preserve"> </w:t>
      </w:r>
      <w:r>
        <w:t xml:space="preserve">- (1) Synthetic content detection methodologies</w:t>
      </w:r>
      <w:r>
        <w:t xml:space="preserve"> </w:t>
      </w:r>
      <w:r>
        <w:t xml:space="preserve">- (2) Watermarking robustness and anti-tampering measures</w:t>
      </w:r>
      <w:r>
        <w:t xml:space="preserve"> </w:t>
      </w:r>
      <w:r>
        <w:t xml:space="preserve">- (3) Content provenance information architecture and machine-readability</w:t>
      </w:r>
      <w:r>
        <w:t xml:space="preserve"> </w:t>
      </w:r>
      <w:r>
        <w:t xml:space="preserve">- (4) Detection tool resilience against adversarial attacks</w:t>
      </w:r>
      <w:r>
        <w:t xml:space="preserve">”</w:t>
      </w:r>
    </w:p>
    <w:p>
      <w:pPr>
        <w:pStyle w:val="BodyText"/>
      </w:pPr>
      <w:r>
        <w:rPr>
          <w:b/>
        </w:rPr>
        <w:t xml:space="preserve">Public Education Campaign:</w:t>
      </w:r>
      <w:r>
        <w:t xml:space="preserve"> </w:t>
      </w:r>
      <w:r>
        <w:t xml:space="preserve">Beginning 2 years post-enactment, public awareness campaign regarding:</w:t>
      </w:r>
      <w:r>
        <w:t xml:space="preserve"> </w:t>
      </w:r>
      <w:r>
        <w:t xml:space="preserve">- Detection of synthetic content</w:t>
      </w:r>
      <w:r>
        <w:t xml:space="preserve"> </w:t>
      </w:r>
      <w:r>
        <w:t xml:space="preserve">- Deepfake risks and harms</w:t>
      </w:r>
      <w:r>
        <w:t xml:space="preserve"> </w:t>
      </w:r>
      <w:r>
        <w:t xml:space="preserve">- Content verification methods</w:t>
      </w:r>
      <w:r>
        <w:t xml:space="preserve"> </w:t>
      </w:r>
      <w:r>
        <w:t xml:space="preserve">- User literacy for synthetic content identification</w:t>
      </w:r>
    </w:p>
    <w:p>
      <w:pPr>
        <w:pStyle w:val="Heading4"/>
      </w:pPr>
      <w:bookmarkStart w:id="54" w:name="X11f2d7c734318e9eede66d5e1e154883e1febc5"/>
      <w:r>
        <w:t xml:space="preserve">3.6.4 Section 1405: Content Provenance Information Requirements</w:t>
      </w:r>
      <w:bookmarkEnd w:id="54"/>
    </w:p>
    <w:p>
      <w:pPr>
        <w:pStyle w:val="FirstParagraph"/>
      </w:pPr>
      <w:r>
        <w:rPr>
          <w:b/>
        </w:rPr>
        <w:t xml:space="preserve">Statutory Text (Pages 260-279):</w:t>
      </w:r>
    </w:p>
    <w:p>
      <w:pPr>
        <w:pStyle w:val="BodyText"/>
      </w:pPr>
      <w:r>
        <w:rPr>
          <w:b/>
        </w:rPr>
        <w:t xml:space="preserve">Mandatory Requirements (Beginning 2 years post-enactment):</w:t>
      </w:r>
    </w:p>
    <w:p>
      <w:pPr>
        <w:pStyle w:val="BodyText"/>
      </w:pPr>
      <w:r>
        <w:rPr>
          <w:b/>
        </w:rPr>
        <w:t xml:space="preserve">For Tool Developers:</w:t>
      </w:r>
      <w:r>
        <w:t xml:space="preserve"> </w:t>
      </w:r>
      <w:r>
        <w:t xml:space="preserve">“</w:t>
      </w:r>
      <w:r>
        <w:t xml:space="preserve">Persons making tools for creating synthetic or synthetically-modified content must:</w:t>
      </w:r>
      <w:r>
        <w:t xml:space="preserve"> </w:t>
      </w:r>
      <w:r>
        <w:t xml:space="preserve">- (1) Provide users with ability to include content provenance information in generated content</w:t>
      </w:r>
      <w:r>
        <w:t xml:space="preserve"> </w:t>
      </w:r>
      <w:r>
        <w:t xml:space="preserve">- (2) Employ reasonable security measures to ensure provenance information remains machine-readable</w:t>
      </w:r>
      <w:r>
        <w:t xml:space="preserve"> </w:t>
      </w:r>
      <w:r>
        <w:t xml:space="preserve">- (3) Prevent easy removal or alteration of provenance information</w:t>
      </w:r>
      <w:r>
        <w:t xml:space="preserve">”</w:t>
      </w:r>
    </w:p>
    <w:p>
      <w:pPr>
        <w:pStyle w:val="BodyText"/>
      </w:pPr>
      <w:r>
        <w:rPr>
          <w:b/>
        </w:rPr>
        <w:t xml:space="preserve">For Content Creators:</w:t>
      </w:r>
      <w:r>
        <w:t xml:space="preserve"> </w:t>
      </w:r>
      <w:r>
        <w:t xml:space="preserve">“</w:t>
      </w:r>
      <w:r>
        <w:t xml:space="preserve">Tools creating or modifying covered content must similarly provide provenance capability and security.</w:t>
      </w:r>
      <w:r>
        <w:t xml:space="preserve">”</w:t>
      </w:r>
    </w:p>
    <w:p>
      <w:pPr>
        <w:pStyle w:val="BodyText"/>
      </w:pPr>
      <w:r>
        <w:rPr>
          <w:b/>
        </w:rPr>
        <w:t xml:space="preserve">Removal Prohibition:</w:t>
      </w:r>
      <w:r>
        <w:t xml:space="preserve"> </w:t>
      </w:r>
      <w:r>
        <w:t xml:space="preserve">“</w:t>
      </w:r>
      <w:r>
        <w:t xml:space="preserve">Removal of content provenance information in furtherance of unfair or deceptive acts is unlawful.</w:t>
      </w:r>
      <w:r>
        <w:t xml:space="preserve">”</w:t>
      </w:r>
    </w:p>
    <w:p>
      <w:pPr>
        <w:pStyle w:val="BodyText"/>
      </w:pPr>
      <w:r>
        <w:rPr>
          <w:b/>
        </w:rPr>
        <w:t xml:space="preserve">Platform Obligations:</w:t>
      </w:r>
      <w:r>
        <w:t xml:space="preserve"> </w:t>
      </w:r>
      <w:r>
        <w:t xml:space="preserve">“</w:t>
      </w:r>
      <w:r>
        <w:t xml:space="preserve">Covered platforms prohibited from removing, altering, tampering with, or disabling content provenance information attached to content.</w:t>
      </w:r>
      <w:r>
        <w:t xml:space="preserve">”</w:t>
      </w:r>
    </w:p>
    <w:p>
      <w:pPr>
        <w:pStyle w:val="BodyText"/>
      </w:pPr>
      <w:r>
        <w:rPr>
          <w:b/>
        </w:rPr>
        <w:t xml:space="preserve">Security Research Exception:</w:t>
      </w:r>
      <w:r>
        <w:t xml:space="preserve"> </w:t>
      </w:r>
      <w:r>
        <w:t xml:space="preserve">“</w:t>
      </w:r>
      <w:r>
        <w:t xml:space="preserve">Exception permitted for necessary, proportionate, limited-purpose security research (testing detection robustness).</w:t>
      </w:r>
      <w:r>
        <w:t xml:space="preserve">”</w:t>
      </w:r>
    </w:p>
    <w:p>
      <w:pPr>
        <w:pStyle w:val="BodyText"/>
      </w:pPr>
      <w:r>
        <w:rPr>
          <w:b/>
        </w:rPr>
        <w:t xml:space="preserve">Commercial Use Prohibition:</w:t>
      </w:r>
      <w:r>
        <w:t xml:space="preserve"> </w:t>
      </w:r>
      <w:r>
        <w:t xml:space="preserve">“</w:t>
      </w:r>
      <w:r>
        <w:t xml:space="preserve">Unlawful to commercially exploit covered content with removed or separated content provenance information.</w:t>
      </w:r>
      <w:r>
        <w:t xml:space="preserve">”</w:t>
      </w:r>
    </w:p>
    <w:p>
      <w:pPr>
        <w:pStyle w:val="Heading4"/>
      </w:pPr>
      <w:bookmarkStart w:id="55" w:name="section-1406-enforcement-mechanisms"/>
      <w:r>
        <w:t xml:space="preserve">3.6.5 Section 1406: Enforcement Mechanisms</w:t>
      </w:r>
      <w:bookmarkEnd w:id="55"/>
    </w:p>
    <w:p>
      <w:pPr>
        <w:pStyle w:val="FirstParagraph"/>
      </w:pPr>
      <w:r>
        <w:rPr>
          <w:b/>
        </w:rPr>
        <w:t xml:space="preserve">Statutory Text (Pages 260-279):</w:t>
      </w:r>
    </w:p>
    <w:p>
      <w:pPr>
        <w:pStyle w:val="BodyText"/>
      </w:pPr>
      <w:r>
        <w:rPr>
          <w:b/>
        </w:rPr>
        <w:t xml:space="preserve">FTC Enforcement:</w:t>
      </w:r>
      <w:r>
        <w:t xml:space="preserve"> </w:t>
      </w:r>
      <w:r>
        <w:t xml:space="preserve">“</w:t>
      </w:r>
      <w:r>
        <w:t xml:space="preserve">Violation of Sections 1405(b) or (c) constitutes unfair or deceptive act under FTC Act Section 18(a)(1)(B).</w:t>
      </w:r>
      <w:r>
        <w:t xml:space="preserve">”</w:t>
      </w:r>
    </w:p>
    <w:p>
      <w:pPr>
        <w:pStyle w:val="BodyText"/>
      </w:pPr>
      <w:r>
        <w:t xml:space="preserve">FTC authority to:</w:t>
      </w:r>
      <w:r>
        <w:t xml:space="preserve"> </w:t>
      </w:r>
      <w:r>
        <w:t xml:space="preserve">- Issue cease-and-desist orders</w:t>
      </w:r>
      <w:r>
        <w:t xml:space="preserve"> </w:t>
      </w:r>
      <w:r>
        <w:t xml:space="preserve">- Impose civil penalties up to per-violation statutory maximums</w:t>
      </w:r>
      <w:r>
        <w:t xml:space="preserve"> </w:t>
      </w:r>
      <w:r>
        <w:t xml:space="preserve">- Seek consumer redress</w:t>
      </w:r>
    </w:p>
    <w:p>
      <w:pPr>
        <w:pStyle w:val="BodyText"/>
      </w:pPr>
      <w:r>
        <w:rPr>
          <w:b/>
        </w:rPr>
        <w:t xml:space="preserve">State Attorney General Enforcement:</w:t>
      </w:r>
      <w:r>
        <w:t xml:space="preserve"> </w:t>
      </w:r>
      <w:r>
        <w:t xml:space="preserve">States may bring civil actions with notice to FTC.</w:t>
      </w:r>
    </w:p>
    <w:p>
      <w:pPr>
        <w:pStyle w:val="BodyText"/>
      </w:pPr>
      <w:r>
        <w:rPr>
          <w:b/>
        </w:rPr>
        <w:t xml:space="preserve">FTC Intervention Rights:</w:t>
      </w:r>
      <w:r>
        <w:t xml:space="preserve"> </w:t>
      </w:r>
      <w:r>
        <w:t xml:space="preserve">FTC may intervene in state actions to protect federal enforcement priorities.</w:t>
      </w:r>
    </w:p>
    <w:p>
      <w:pPr>
        <w:pStyle w:val="BodyText"/>
      </w:pPr>
      <w:r>
        <w:rPr>
          <w:b/>
        </w:rPr>
        <w:t xml:space="preserve">Private Right of Action (Sec. 1406(c)):</w:t>
      </w:r>
    </w:p>
    <w:p>
      <w:pPr>
        <w:pStyle w:val="BodyText"/>
      </w:pPr>
      <w:r>
        <w:rPr>
          <w:b/>
        </w:rPr>
        <w:t xml:space="preserve">Eligibility:</w:t>
      </w:r>
      <w:r>
        <w:t xml:space="preserve"> </w:t>
      </w:r>
      <w:r>
        <w:t xml:space="preserve">“</w:t>
      </w:r>
      <w:r>
        <w:t xml:space="preserve">Any person who owns covered content with attached content provenance information may bring civil action against:</w:t>
      </w:r>
      <w:r>
        <w:t xml:space="preserve"> </w:t>
      </w:r>
      <w:r>
        <w:t xml:space="preserve">- (A) Any person or covered platform for removing, altering, tampering with, or disabling such provenance information in violation of Sec. 1405(b) or (c), and</w:t>
      </w:r>
      <w:r>
        <w:t xml:space="preserve"> </w:t>
      </w:r>
      <w:r>
        <w:t xml:space="preserve">- (B) Any person for using covered content in violation of Sec. 1405(e)</w:t>
      </w:r>
      <w:r>
        <w:t xml:space="preserve">”</w:t>
      </w:r>
    </w:p>
    <w:p>
      <w:pPr>
        <w:pStyle w:val="BodyText"/>
      </w:pPr>
      <w:r>
        <w:rPr>
          <w:b/>
        </w:rPr>
        <w:t xml:space="preserve">Remedies:</w:t>
      </w:r>
      <w:r>
        <w:t xml:space="preserve"> </w:t>
      </w:r>
      <w:r>
        <w:t xml:space="preserve">“</w:t>
      </w:r>
      <w:r>
        <w:t xml:space="preserve">Court may award declaratory or injunctive relief, compensatory damages, and reasonable litigation expenses including attorney’s fees.</w:t>
      </w:r>
      <w:r>
        <w:t xml:space="preserve">”</w:t>
      </w:r>
    </w:p>
    <w:p>
      <w:pPr>
        <w:pStyle w:val="BodyText"/>
      </w:pPr>
      <w:r>
        <w:rPr>
          <w:b/>
        </w:rPr>
        <w:t xml:space="preserve">Statute of Limitations:</w:t>
      </w:r>
      <w:r>
        <w:t xml:space="preserve"> </w:t>
      </w:r>
      <w:r>
        <w:t xml:space="preserve">“</w:t>
      </w:r>
      <w:r>
        <w:t xml:space="preserve">4 years after date plaintiff discovers or should have discovered the violation.</w:t>
      </w:r>
      <w:r>
        <w:t xml:space="preserve">”</w:t>
      </w:r>
    </w:p>
    <w:p>
      <w:pPr>
        <w:pStyle w:val="BodyText"/>
      </w:pPr>
      <w:r>
        <w:rPr>
          <w:b/>
        </w:rPr>
        <w:t xml:space="preserve">Private Right Innovation:</w:t>
      </w:r>
      <w:r>
        <w:t xml:space="preserve"> </w:t>
      </w:r>
      <w:r>
        <w:t xml:space="preserve">Creates new cause of action for copyright owners seeking to protect content authenticity through provenance information preservation.</w:t>
      </w:r>
    </w:p>
    <w:p>
      <w:r>
        <w:pict>
          <v:rect style="width:0;height:1.5pt" o:hralign="center" o:hrstd="t" o:hr="t"/>
        </w:pict>
      </w:r>
    </w:p>
    <w:p>
      <w:pPr>
        <w:pStyle w:val="Heading3"/>
      </w:pPr>
      <w:bookmarkStart w:id="56" w:name="Xddd7cfaf0a529c0b598fcad62e80849a66a062f"/>
      <w:r>
        <w:t xml:space="preserve">3.7 TITLE XV: ARTIFICIAL INTELLIGENCE COPYRIGHT, TRANSPARENCY, AND TRAINING DATA ACCOUNTABILITY (Sec. 1501-1502)</w:t>
      </w:r>
      <w:bookmarkEnd w:id="56"/>
    </w:p>
    <w:p>
      <w:pPr>
        <w:pStyle w:val="Heading4"/>
      </w:pPr>
      <w:bookmarkStart w:id="57" w:name="X2d6b3af37b8a4479028d4978482c92a7855a87c"/>
      <w:r>
        <w:t xml:space="preserve">3.7.1 Section 1501: Clarification Regarding AI Training and Fair Use</w:t>
      </w:r>
      <w:bookmarkEnd w:id="57"/>
    </w:p>
    <w:p>
      <w:pPr>
        <w:pStyle w:val="FirstParagraph"/>
      </w:pPr>
      <w:r>
        <w:rPr>
          <w:b/>
        </w:rPr>
        <w:t xml:space="preserve">Statutory Text (Pages 282-283):</w:t>
      </w:r>
    </w:p>
    <w:p>
      <w:pPr>
        <w:pStyle w:val="BodyText"/>
      </w:pPr>
      <w:r>
        <w:rPr>
          <w:b/>
        </w:rPr>
        <w:t xml:space="preserve">Statutory Amendments to 17 U.S.C. Section 107 (Fair Use Doctrine):</w:t>
      </w:r>
    </w:p>
    <w:p>
      <w:pPr>
        <w:pStyle w:val="BodyText"/>
      </w:pPr>
      <w:r>
        <w:rPr>
          <w:b/>
        </w:rPr>
        <w:t xml:space="preserve">Training and Inference Exclusion (Sec. 107(b)(2)):</w:t>
      </w:r>
      <w:r>
        <w:t xml:space="preserve"> </w:t>
      </w:r>
      <w:r>
        <w:t xml:space="preserve">“</w:t>
      </w:r>
      <w:r>
        <w:t xml:space="preserve">The unauthorized reproduction, copying, or computational processing of copyrighted works for the purpose of training, fine-tuning, developing, or creating artificial intelligence shall not constitute fair use under this section.</w:t>
      </w:r>
      <w:r>
        <w:t xml:space="preserve">”</w:t>
      </w:r>
    </w:p>
    <w:p>
      <w:pPr>
        <w:pStyle w:val="BodyText"/>
      </w:pPr>
      <w:r>
        <w:rPr>
          <w:b/>
        </w:rPr>
        <w:t xml:space="preserve">Key provision:</w:t>
      </w:r>
      <w:r>
        <w:t xml:space="preserve"> </w:t>
      </w:r>
      <w:r>
        <w:t xml:space="preserve">Explicitly excludes AI training from fair use protection, creating strict liability standard for AI developers using copyrighted training data without authorization.</w:t>
      </w:r>
    </w:p>
    <w:p>
      <w:pPr>
        <w:pStyle w:val="BodyText"/>
      </w:pPr>
      <w:r>
        <w:rPr>
          <w:b/>
        </w:rPr>
        <w:t xml:space="preserve">Derivative Model Liability (Sec. 1501(3)):</w:t>
      </w:r>
      <w:r>
        <w:t xml:space="preserve"> </w:t>
      </w:r>
      <w:r>
        <w:t xml:space="preserve">“</w:t>
      </w:r>
      <w:r>
        <w:t xml:space="preserve">Any AI created in whole or in part through inference, distillation, or similar processes shall be deemed to incorporate copyrighted materials used in training unless the developer establishes by clear and convincing evidence that:</w:t>
      </w:r>
      <w:r>
        <w:t xml:space="preserve"> </w:t>
      </w:r>
      <w:r>
        <w:t xml:space="preserve">- (A) the derivative AI was developed exclusively using authorized materials; or</w:t>
      </w:r>
      <w:r>
        <w:t xml:space="preserve"> </w:t>
      </w:r>
      <w:r>
        <w:t xml:space="preserve">- (B) no copyrighted expression from the source AI training data is embedded in or reproducible by the derivative AI.</w:t>
      </w:r>
      <w:r>
        <w:t xml:space="preserve">”</w:t>
      </w:r>
    </w:p>
    <w:p>
      <w:pPr>
        <w:pStyle w:val="BodyText"/>
      </w:pPr>
      <w:r>
        <w:rPr>
          <w:b/>
        </w:rPr>
        <w:t xml:space="preserve">Evidentiary Standard:</w:t>
      </w:r>
      <w:r>
        <w:t xml:space="preserve"> </w:t>
      </w:r>
      <w:r>
        <w:t xml:space="preserve">“</w:t>
      </w:r>
      <w:r>
        <w:t xml:space="preserve">Clear and convincing evidence</w:t>
      </w:r>
      <w:r>
        <w:t xml:space="preserve">”</w:t>
      </w:r>
      <w:r>
        <w:t xml:space="preserve"> </w:t>
      </w:r>
      <w:r>
        <w:t xml:space="preserve">(heightened standard, higher than preponderance of evidence).</w:t>
      </w:r>
    </w:p>
    <w:p>
      <w:pPr>
        <w:pStyle w:val="BodyText"/>
      </w:pPr>
      <w:r>
        <w:rPr>
          <w:b/>
        </w:rPr>
        <w:t xml:space="preserve">Output Liability (Sec. 1501(4)):</w:t>
      </w:r>
      <w:r>
        <w:t xml:space="preserve"> </w:t>
      </w:r>
      <w:r>
        <w:t xml:space="preserve">“</w:t>
      </w:r>
      <w:r>
        <w:t xml:space="preserve">Generation by AI of content that reproduces or derives from copyrighted works constitutes infringement.</w:t>
      </w:r>
      <w:r>
        <w:t xml:space="preserve">”</w:t>
      </w:r>
    </w:p>
    <w:p>
      <w:pPr>
        <w:pStyle w:val="BodyText"/>
      </w:pPr>
      <w:r>
        <w:rPr>
          <w:b/>
        </w:rPr>
        <w:t xml:space="preserve">Statutory Impact:</w:t>
      </w:r>
      <w:r>
        <w:t xml:space="preserve"> </w:t>
      </w:r>
      <w:r>
        <w:t xml:space="preserve">Reverses safe harbor assumptions for AI training on copyrighted data; creates presumption of infringement unless developer can prove training used only authorized materials or output contains no copyrighted expression.</w:t>
      </w:r>
    </w:p>
    <w:p>
      <w:pPr>
        <w:pStyle w:val="Heading4"/>
      </w:pPr>
      <w:bookmarkStart w:id="58" w:name="X18556e9b19aed234abdcb5fc7b88cc3fa0137c1"/>
      <w:r>
        <w:t xml:space="preserve">3.7.2 Section 1502: Unauthorized AI-Generated Derivative Works</w:t>
      </w:r>
      <w:bookmarkEnd w:id="58"/>
    </w:p>
    <w:p>
      <w:pPr>
        <w:pStyle w:val="FirstParagraph"/>
      </w:pPr>
      <w:r>
        <w:rPr>
          <w:b/>
        </w:rPr>
        <w:t xml:space="preserve">Statutory Text (Pages 284):</w:t>
      </w:r>
    </w:p>
    <w:p>
      <w:pPr>
        <w:pStyle w:val="BodyText"/>
      </w:pPr>
      <w:r>
        <w:rPr>
          <w:b/>
        </w:rPr>
        <w:t xml:space="preserve">Infringement Standard (17 U.S.C. Section 103(c)):</w:t>
      </w:r>
      <w:r>
        <w:t xml:space="preserve"> </w:t>
      </w:r>
      <w:r>
        <w:t xml:space="preserve">“</w:t>
      </w:r>
      <w:r>
        <w:t xml:space="preserve">A derivative work generated, synthesized, or produced by artificial intelligence, as defined in Section 107(b), without the authorization of the copyright owner of the underlying work shall be deemed an infringing work under this title.</w:t>
      </w:r>
      <w:r>
        <w:t xml:space="preserve">”</w:t>
      </w:r>
    </w:p>
    <w:p>
      <w:pPr>
        <w:pStyle w:val="BodyText"/>
      </w:pPr>
      <w:r>
        <w:rPr>
          <w:b/>
        </w:rPr>
        <w:t xml:space="preserve">No Copyright Protection (Sec. 1502(2)):</w:t>
      </w:r>
      <w:r>
        <w:t xml:space="preserve"> </w:t>
      </w:r>
      <w:r>
        <w:t xml:space="preserve">“</w:t>
      </w:r>
      <w:r>
        <w:t xml:space="preserve">An infringing derivative work described in paragraph (1) shall not be eligible for copyright protection, and no person or entity may claim, assert, or register copyright in such work.</w:t>
      </w:r>
      <w:r>
        <w:t xml:space="preserve">”</w:t>
      </w:r>
    </w:p>
    <w:p>
      <w:pPr>
        <w:pStyle w:val="BodyText"/>
      </w:pPr>
      <w:r>
        <w:rPr>
          <w:b/>
        </w:rPr>
        <w:t xml:space="preserve">Rule of Construction (Sec. 1502(4)):</w:t>
      </w:r>
      <w:r>
        <w:t xml:space="preserve"> </w:t>
      </w:r>
      <w:r>
        <w:t xml:space="preserve">“</w:t>
      </w:r>
      <w:r>
        <w:t xml:space="preserve">Nothing in this subsection shall be construed to permit the registration of works that incorporate infringing AI-generated derivative material.</w:t>
      </w:r>
      <w:r>
        <w:t xml:space="preserve">”</w:t>
      </w:r>
    </w:p>
    <w:p>
      <w:pPr>
        <w:pStyle w:val="BodyText"/>
      </w:pPr>
      <w:r>
        <w:rPr>
          <w:b/>
        </w:rPr>
        <w:t xml:space="preserve">Policy Implication:</w:t>
      </w:r>
      <w:r>
        <w:t xml:space="preserve"> </w:t>
      </w:r>
      <w:r>
        <w:t xml:space="preserve">Blocks AI developers from obtaining copyright protection for derivative works trained on copyrighted data, eliminating incentive to commercialize unauthorized derivative models.</w:t>
      </w:r>
    </w:p>
    <w:p>
      <w:r>
        <w:pict>
          <v:rect style="width:0;height:1.5pt" o:hralign="center" o:hrstd="t" o:hr="t"/>
        </w:pict>
      </w:r>
    </w:p>
    <w:p>
      <w:pPr>
        <w:pStyle w:val="Heading3"/>
      </w:pPr>
      <w:bookmarkStart w:id="59" w:name="X53d4eb269b7d617f914873775d968c506ae8b2e"/>
      <w:r>
        <w:t xml:space="preserve">3.8 TITLE XVI: AGENCY USE OF ARTIFICIAL INTELLIGENCE (Sec. 1601)</w:t>
      </w:r>
      <w:bookmarkEnd w:id="59"/>
    </w:p>
    <w:p>
      <w:pPr>
        <w:pStyle w:val="Heading4"/>
      </w:pPr>
      <w:bookmarkStart w:id="60" w:name="Xd410c9d28a2ddc8e89c842ad1012564fb18323d"/>
      <w:r>
        <w:t xml:space="preserve">3.8.1 Section 1601: Agency Use Requirements and Limitations</w:t>
      </w:r>
      <w:bookmarkEnd w:id="60"/>
    </w:p>
    <w:p>
      <w:pPr>
        <w:pStyle w:val="FirstParagraph"/>
      </w:pPr>
      <w:r>
        <w:rPr>
          <w:b/>
        </w:rPr>
        <w:t xml:space="preserve">Statutory Text (Pages 285-290):</w:t>
      </w:r>
    </w:p>
    <w:p>
      <w:pPr>
        <w:pStyle w:val="BodyText"/>
      </w:pPr>
      <w:r>
        <w:rPr>
          <w:b/>
        </w:rPr>
        <w:t xml:space="preserve">Definitions (Sec. 1601(a)):</w:t>
      </w:r>
    </w:p>
    <w:p>
      <w:pPr>
        <w:pStyle w:val="BodyText"/>
      </w:pPr>
      <w:r>
        <w:rPr>
          <w:b/>
        </w:rPr>
        <w:t xml:space="preserve">Agency:</w:t>
      </w:r>
      <w:r>
        <w:t xml:space="preserve"> </w:t>
      </w:r>
      <w:r>
        <w:t xml:space="preserve">- Executive department</w:t>
      </w:r>
      <w:r>
        <w:t xml:space="preserve"> </w:t>
      </w:r>
      <w:r>
        <w:t xml:space="preserve">- Military department</w:t>
      </w:r>
      <w:r>
        <w:t xml:space="preserve"> </w:t>
      </w:r>
      <w:r>
        <w:t xml:space="preserve">- Independent establishment</w:t>
      </w:r>
      <w:r>
        <w:t xml:space="preserve"> </w:t>
      </w:r>
      <w:r>
        <w:t xml:space="preserve">- Wholly owned Government corporation</w:t>
      </w:r>
    </w:p>
    <w:p>
      <w:pPr>
        <w:pStyle w:val="BodyText"/>
      </w:pPr>
      <w:r>
        <w:rPr>
          <w:b/>
        </w:rPr>
        <w:t xml:space="preserve">Large Language Model:</w:t>
      </w:r>
      <w:r>
        <w:t xml:space="preserve"> </w:t>
      </w:r>
      <w:r>
        <w:t xml:space="preserve">“</w:t>
      </w:r>
      <w:r>
        <w:t xml:space="preserve">A generative artificial intelligence model trained on vast and diverse datasets that enable the model to generate natural language responses to user prompts.</w:t>
      </w:r>
      <w:r>
        <w:t xml:space="preserve">”</w:t>
      </w:r>
    </w:p>
    <w:p>
      <w:pPr>
        <w:pStyle w:val="BodyText"/>
      </w:pPr>
      <w:r>
        <w:rPr>
          <w:b/>
        </w:rPr>
        <w:t xml:space="preserve">National Security System:</w:t>
      </w:r>
      <w:r>
        <w:t xml:space="preserve"> </w:t>
      </w:r>
      <w:r>
        <w:t xml:space="preserve">Defined per 44 U.S.C. Section 3552(b) (sensitive national security applications).</w:t>
      </w:r>
    </w:p>
    <w:p>
      <w:pPr>
        <w:pStyle w:val="Heading4"/>
      </w:pPr>
      <w:bookmarkStart w:id="61" w:name="X6140135bc0e70c580cf2902c8297a5ba4e9cd98"/>
      <w:r>
        <w:t xml:space="preserve">3.8.2 Unbiased Artificial Intelligence Principles (Sec. 1601(a)(4))</w:t>
      </w:r>
      <w:bookmarkEnd w:id="61"/>
    </w:p>
    <w:p>
      <w:pPr>
        <w:pStyle w:val="FirstParagraph"/>
      </w:pPr>
      <w:r>
        <w:rPr>
          <w:b/>
        </w:rPr>
        <w:t xml:space="preserve">Statutory Definition (Pages 286):</w:t>
      </w:r>
    </w:p>
    <w:p>
      <w:pPr>
        <w:pStyle w:val="BodyText"/>
      </w:pPr>
      <w:r>
        <w:t xml:space="preserve">“</w:t>
      </w:r>
      <w:r>
        <w:t xml:space="preserve">Unbiased artificial intelligence principles,</w:t>
      </w:r>
      <w:r>
        <w:t xml:space="preserve">”</w:t>
      </w:r>
      <w:r>
        <w:t xml:space="preserve"> </w:t>
      </w:r>
      <w:r>
        <w:t xml:space="preserve">with respect to a large language model, means:</w:t>
      </w:r>
      <w:r>
        <w:t xml:space="preserve"> </w:t>
      </w:r>
      <w:r>
        <w:t xml:space="preserve">-</w:t>
      </w:r>
      <w:r>
        <w:t xml:space="preserve"> </w:t>
      </w:r>
      <w:r>
        <w:t xml:space="preserve">“</w:t>
      </w:r>
      <w:r>
        <w:t xml:space="preserve">(A) truthfulness in responding to user prompts seeking factual information or analysis</w:t>
      </w:r>
      <w:r>
        <w:t xml:space="preserve"> </w:t>
      </w:r>
      <w:r>
        <w:t xml:space="preserve">- (B) the prioritization of historical accuracy, scientific inquiry, and objectivity</w:t>
      </w:r>
      <w:r>
        <w:t xml:space="preserve"> </w:t>
      </w:r>
      <w:r>
        <w:t xml:space="preserve">- (C) the acknowledgment of uncertainty in cases in which reliable information is incomplete or contradictory</w:t>
      </w:r>
      <w:r>
        <w:t xml:space="preserve"> </w:t>
      </w:r>
      <w:r>
        <w:t xml:space="preserve">- (D) ideological neutrality</w:t>
      </w:r>
      <w:r>
        <w:t xml:space="preserve"> </w:t>
      </w:r>
      <w:r>
        <w:t xml:space="preserve">- (E) nonpartisanship</w:t>
      </w:r>
      <w:r>
        <w:t xml:space="preserve"> </w:t>
      </w:r>
      <w:r>
        <w:t xml:space="preserve">- (F) the absence of manipulation in favor of an ideological dogma, such as diversity, equity, and inclusion</w:t>
      </w:r>
      <w:r>
        <w:t xml:space="preserve"> </w:t>
      </w:r>
      <w:r>
        <w:t xml:space="preserve">- (G) the absence of intentionally coded partisan or ideological judgments with respect to an output that is not prompted or otherwise readily available to the end user</w:t>
      </w:r>
      <w:r>
        <w:t xml:space="preserve">”</w:t>
      </w:r>
    </w:p>
    <w:p>
      <w:pPr>
        <w:pStyle w:val="BodyText"/>
      </w:pPr>
      <w:r>
        <w:rPr>
          <w:b/>
        </w:rPr>
        <w:t xml:space="preserve">Substantive Content:</w:t>
      </w:r>
      <w:r>
        <w:t xml:space="preserve"> </w:t>
      </w:r>
      <w:r>
        <w:t xml:space="preserve">Federal agency language models must be</w:t>
      </w:r>
      <w:r>
        <w:t xml:space="preserve"> </w:t>
      </w:r>
      <w:r>
        <w:t xml:space="preserve">“</w:t>
      </w:r>
      <w:r>
        <w:t xml:space="preserve">unbiased</w:t>
      </w:r>
      <w:r>
        <w:t xml:space="preserve">”</w:t>
      </w:r>
      <w:r>
        <w:t xml:space="preserve"> </w:t>
      </w:r>
      <w:r>
        <w:t xml:space="preserve">in the sense of lacking intentional partisan or ideological bias, with specific callout to DEI-related principles as prohibited biases.</w:t>
      </w:r>
    </w:p>
    <w:p>
      <w:pPr>
        <w:pStyle w:val="Heading4"/>
      </w:pPr>
      <w:bookmarkStart w:id="62" w:name="procurement-limitation-sec.-1601b2"/>
      <w:r>
        <w:t xml:space="preserve">3.8.3 Procurement Limitation (Sec. 1601(b)(2))</w:t>
      </w:r>
      <w:bookmarkEnd w:id="62"/>
    </w:p>
    <w:p>
      <w:pPr>
        <w:pStyle w:val="FirstParagraph"/>
      </w:pPr>
      <w:r>
        <w:rPr>
          <w:b/>
        </w:rPr>
        <w:t xml:space="preserve">Statutory Requirement (Pages 287):</w:t>
      </w:r>
    </w:p>
    <w:p>
      <w:pPr>
        <w:pStyle w:val="BodyText"/>
      </w:pPr>
      <w:r>
        <w:t xml:space="preserve">“</w:t>
      </w:r>
      <w:r>
        <w:t xml:space="preserve">The head of an agency may only procure a large language model developed in accordance with unbiased artificial intelligence principles.</w:t>
      </w:r>
      <w:r>
        <w:t xml:space="preserve">”</w:t>
      </w:r>
    </w:p>
    <w:p>
      <w:pPr>
        <w:pStyle w:val="BodyText"/>
      </w:pPr>
      <w:r>
        <w:rPr>
          <w:b/>
        </w:rPr>
        <w:t xml:space="preserve">Consequence:</w:t>
      </w:r>
      <w:r>
        <w:t xml:space="preserve"> </w:t>
      </w:r>
      <w:r>
        <w:t xml:space="preserve">Federal procurement rules restrict agency purchasing of LLMs to those meeting</w:t>
      </w:r>
      <w:r>
        <w:t xml:space="preserve"> </w:t>
      </w:r>
      <w:r>
        <w:t xml:space="preserve">“</w:t>
      </w:r>
      <w:r>
        <w:t xml:space="preserve">unbiased</w:t>
      </w:r>
      <w:r>
        <w:t xml:space="preserve">”</w:t>
      </w:r>
      <w:r>
        <w:t xml:space="preserve"> </w:t>
      </w:r>
      <w:r>
        <w:t xml:space="preserve">standard per subsection (a)(4).</w:t>
      </w:r>
    </w:p>
    <w:p>
      <w:pPr>
        <w:pStyle w:val="Heading4"/>
      </w:pPr>
      <w:bookmarkStart w:id="63" w:name="Xc7266759a4689261c4aafaa31f23131858f0de4"/>
      <w:r>
        <w:t xml:space="preserve">3.8.4 Implementation Guidance Requirement (Sec. 1601(c))</w:t>
      </w:r>
      <w:bookmarkEnd w:id="63"/>
    </w:p>
    <w:p>
      <w:pPr>
        <w:pStyle w:val="FirstParagraph"/>
      </w:pPr>
      <w:r>
        <w:rPr>
          <w:b/>
        </w:rPr>
        <w:t xml:space="preserve">Statutory Requirement (Pages 287-289):</w:t>
      </w:r>
    </w:p>
    <w:p>
      <w:pPr>
        <w:pStyle w:val="BodyText"/>
      </w:pPr>
      <w:r>
        <w:t xml:space="preserve">“</w:t>
      </w:r>
      <w:r>
        <w:t xml:space="preserve">Not later than 120 days after the date of enactment of this Act, the Director of the Office of Management and Budget, in consultation with [Federal Procurement Policy, General Services, Office of Science and Technology Policy], shall issue guidance implementing subsection (b) that:</w:t>
      </w:r>
      <w:r>
        <w:t xml:space="preserve"> </w:t>
      </w:r>
      <w:r>
        <w:t xml:space="preserve">- (1) accounts for technical limitations in complying with subsection (b)</w:t>
      </w:r>
      <w:r>
        <w:t xml:space="preserve"> </w:t>
      </w:r>
      <w:r>
        <w:t xml:space="preserve">- (2) permits vendors to show LLM meets requirements (a)(4) by being transparent about ideological judgments through disclosure of system prompt, specifications, evaluations, or other relevant documentation</w:t>
      </w:r>
      <w:r>
        <w:t xml:space="preserve"> </w:t>
      </w:r>
      <w:r>
        <w:t xml:space="preserve">- (3) avoids requiring disclosure of specific model weights or sensitive technical data when practicable</w:t>
      </w:r>
      <w:r>
        <w:t xml:space="preserve"> </w:t>
      </w:r>
      <w:r>
        <w:t xml:space="preserve">- (4) avoids over-prescription and affords latitude for vendors to comply with unbiased AI principles and take different approaches to innovation</w:t>
      </w:r>
      <w:r>
        <w:t xml:space="preserve"> </w:t>
      </w:r>
      <w:r>
        <w:t xml:space="preserve">- (5) specifies factors for agency heads to consider in determining whether to apply principles to LLMs developed by the agency and to AI models other than LLMs</w:t>
      </w:r>
      <w:r>
        <w:t xml:space="preserve"> </w:t>
      </w:r>
      <w:r>
        <w:t xml:space="preserve">- (6) makes exceptions as appropriate for use of LLMs in national security systems</w:t>
      </w:r>
      <w:r>
        <w:t xml:space="preserve">”</w:t>
      </w:r>
    </w:p>
    <w:p>
      <w:pPr>
        <w:pStyle w:val="BodyText"/>
      </w:pPr>
      <w:r>
        <w:rPr>
          <w:b/>
        </w:rPr>
        <w:t xml:space="preserve">Implementation Specificity:</w:t>
      </w:r>
      <w:r>
        <w:t xml:space="preserve"> </w:t>
      </w:r>
      <w:r>
        <w:t xml:space="preserve">Guidance to balance transparency requirements (disclosure of system prompt/evaluations) with vendor protection (avoiding model weight disclosure) and innovation flexibility.</w:t>
      </w:r>
    </w:p>
    <w:p>
      <w:pPr>
        <w:pStyle w:val="Heading4"/>
      </w:pPr>
      <w:bookmarkStart w:id="64" w:name="contract-requirements-sec.-1601d"/>
      <w:r>
        <w:t xml:space="preserve">3.8.5 Contract Requirements (Sec. 1601(d))</w:t>
      </w:r>
      <w:bookmarkEnd w:id="64"/>
    </w:p>
    <w:p>
      <w:pPr>
        <w:pStyle w:val="FirstParagraph"/>
      </w:pPr>
      <w:r>
        <w:rPr>
          <w:b/>
        </w:rPr>
        <w:t xml:space="preserve">Statutory Requirements (Pages 288-289):</w:t>
      </w:r>
    </w:p>
    <w:p>
      <w:pPr>
        <w:pStyle w:val="BodyText"/>
      </w:pPr>
      <w:r>
        <w:rPr>
          <w:b/>
        </w:rPr>
        <w:t xml:space="preserve">Terms Required in Federal Contracts:</w:t>
      </w:r>
      <w:r>
        <w:t xml:space="preserve"> </w:t>
      </w:r>
      <w:r>
        <w:t xml:space="preserve">Federal contracts for LLMs must include:</w:t>
      </w:r>
      <w:r>
        <w:t xml:space="preserve"> </w:t>
      </w:r>
      <w:r>
        <w:t xml:space="preserve">-</w:t>
      </w:r>
      <w:r>
        <w:t xml:space="preserve"> </w:t>
      </w:r>
      <w:r>
        <w:t xml:space="preserve">“</w:t>
      </w:r>
      <w:r>
        <w:t xml:space="preserve">(A) requiring that the procured large language model comply with the unbiased artificial intelligence principles, and</w:t>
      </w:r>
      <w:r>
        <w:t xml:space="preserve"> </w:t>
      </w:r>
      <w:r>
        <w:t xml:space="preserve">- (B) providing that decommissioning costs shall be charged to the vendor in the event of termination by the agency for noncompliance with the contract following a reasonable period to cure</w:t>
      </w:r>
      <w:r>
        <w:t xml:space="preserve">”</w:t>
      </w:r>
    </w:p>
    <w:p>
      <w:pPr>
        <w:pStyle w:val="BodyText"/>
      </w:pPr>
      <w:r>
        <w:rPr>
          <w:b/>
        </w:rPr>
        <w:t xml:space="preserve">Revision of Existing Contracts:</w:t>
      </w:r>
      <w:r>
        <w:t xml:space="preserve"> </w:t>
      </w:r>
      <w:r>
        <w:t xml:space="preserve">“</w:t>
      </w:r>
      <w:r>
        <w:t xml:space="preserve">To the extent practicable and consistent with contract terms, revise existing contracts for large language models to include the terms described in paragraph (1)</w:t>
      </w:r>
      <w:r>
        <w:t xml:space="preserve">”</w:t>
      </w:r>
    </w:p>
    <w:p>
      <w:pPr>
        <w:pStyle w:val="BodyText"/>
      </w:pPr>
      <w:r>
        <w:rPr>
          <w:b/>
        </w:rPr>
        <w:t xml:space="preserve">Compliance Procedures:</w:t>
      </w:r>
      <w:r>
        <w:t xml:space="preserve"> </w:t>
      </w:r>
      <w:r>
        <w:t xml:space="preserve">“</w:t>
      </w:r>
      <w:r>
        <w:t xml:space="preserve">Not later than 90 days after [guidance issuance], adopt procedures to ensure that large language models procured by the agency comply with unbiased artificial intelligence principles</w:t>
      </w:r>
      <w:r>
        <w:t xml:space="preserve">”</w:t>
      </w:r>
    </w:p>
    <w:p>
      <w:r>
        <w:pict>
          <v:rect style="width:0;height:1.5pt" o:hralign="center" o:hrstd="t" o:hr="t"/>
        </w:pict>
      </w:r>
    </w:p>
    <w:p>
      <w:pPr>
        <w:pStyle w:val="Heading3"/>
      </w:pPr>
      <w:bookmarkStart w:id="65" w:name="Xa09146bf8a69aa68d25d2f43fe4923634c2df64"/>
      <w:r>
        <w:t xml:space="preserve">3.9 TITLE XVII: MISCELLANEOUS PROVISIONS (Sec. 1701-1703)</w:t>
      </w:r>
      <w:bookmarkEnd w:id="65"/>
    </w:p>
    <w:p>
      <w:pPr>
        <w:pStyle w:val="Heading4"/>
      </w:pPr>
      <w:bookmarkStart w:id="66" w:name="section-1701-preemption"/>
      <w:r>
        <w:t xml:space="preserve">3.9.1 Section 1701: Preemption</w:t>
      </w:r>
      <w:bookmarkEnd w:id="66"/>
    </w:p>
    <w:p>
      <w:pPr>
        <w:pStyle w:val="FirstParagraph"/>
      </w:pPr>
      <w:r>
        <w:rPr>
          <w:b/>
        </w:rPr>
        <w:t xml:space="preserve">Statutory Text (Pages 290):</w:t>
      </w:r>
    </w:p>
    <w:p>
      <w:pPr>
        <w:pStyle w:val="BodyText"/>
      </w:pPr>
      <w:r>
        <w:t xml:space="preserve">“</w:t>
      </w:r>
      <w:r>
        <w:t xml:space="preserve">Notwithstanding any other provision of this Act or the amendments made by this Act, nothing in this Act or the amendments made by this Act shall preempt any generally applicable law, such as a body of common law or a scheme of sectoral governance, including a law, regulation, or other provision having the force or effect of law that may address artificial intelligence.</w:t>
      </w:r>
      <w:r>
        <w:t xml:space="preserve">”</w:t>
      </w:r>
    </w:p>
    <w:p>
      <w:pPr>
        <w:pStyle w:val="BodyText"/>
      </w:pPr>
      <w:r>
        <w:rPr>
          <w:b/>
        </w:rPr>
        <w:t xml:space="preserve">Preemption Scope:</w:t>
      </w:r>
      <w:r>
        <w:t xml:space="preserve"> </w:t>
      </w:r>
      <w:r>
        <w:t xml:space="preserve">Federal TRUMP AI Act does NOT preempt:</w:t>
      </w:r>
      <w:r>
        <w:t xml:space="preserve"> </w:t>
      </w:r>
      <w:r>
        <w:t xml:space="preserve">- State common law (products liability, contract, tort)</w:t>
      </w:r>
      <w:r>
        <w:t xml:space="preserve"> </w:t>
      </w:r>
      <w:r>
        <w:t xml:space="preserve">- Sectoral governance (healthcare, financial services, telecommunications)</w:t>
      </w:r>
      <w:r>
        <w:t xml:space="preserve"> </w:t>
      </w:r>
      <w:r>
        <w:t xml:space="preserve">- State-specific AI regulations (if not directly conflicting)</w:t>
      </w:r>
    </w:p>
    <w:p>
      <w:pPr>
        <w:pStyle w:val="BodyText"/>
      </w:pPr>
      <w:r>
        <w:rPr>
          <w:b/>
        </w:rPr>
        <w:t xml:space="preserve">Implication:</w:t>
      </w:r>
      <w:r>
        <w:t xml:space="preserve"> </w:t>
      </w:r>
      <w:r>
        <w:t xml:space="preserve">TRUMP Act establishes federal baseline for AI regulation while preserving state and sectoral autonomy for stricter regulation.</w:t>
      </w:r>
    </w:p>
    <w:p>
      <w:pPr>
        <w:pStyle w:val="BodyText"/>
      </w:pPr>
      <w:r>
        <w:rPr>
          <w:b/>
        </w:rPr>
        <w:t xml:space="preserve">Comparison with EU AI Act:</w:t>
      </w:r>
      <w:r>
        <w:t xml:space="preserve"> </w:t>
      </w:r>
      <w:r>
        <w:t xml:space="preserve">EU AI Act Article 2(4) includes preemption clause in Recital 8 indicating member states cannot establish stricter requirements for harmonized risk-based framework areas. TRUMP’s approach is more federalism-conscious.</w:t>
      </w:r>
    </w:p>
    <w:p>
      <w:pPr>
        <w:pStyle w:val="Heading4"/>
      </w:pPr>
      <w:bookmarkStart w:id="67" w:name="section-1702-severability"/>
      <w:r>
        <w:t xml:space="preserve">3.9.2 Section 1702: Severability</w:t>
      </w:r>
      <w:bookmarkEnd w:id="67"/>
    </w:p>
    <w:p>
      <w:pPr>
        <w:pStyle w:val="FirstParagraph"/>
      </w:pPr>
      <w:r>
        <w:rPr>
          <w:b/>
        </w:rPr>
        <w:t xml:space="preserve">Statutory Text (Pages 290):</w:t>
      </w:r>
    </w:p>
    <w:p>
      <w:pPr>
        <w:pStyle w:val="BodyText"/>
      </w:pPr>
      <w:r>
        <w:t xml:space="preserve">“</w:t>
      </w:r>
      <w:r>
        <w:t xml:space="preserve">If any provision of this Act or any amendment made by this Act, or the application thereof to any person or circumstance, is held invalid, the remainder of this Act and the amendments made by this Act, and the application of the provision or amendment to other persons or circumstances, shall not be affected thereby.</w:t>
      </w:r>
      <w:r>
        <w:t xml:space="preserve">”</w:t>
      </w:r>
    </w:p>
    <w:p>
      <w:pPr>
        <w:pStyle w:val="BodyText"/>
      </w:pPr>
      <w:r>
        <w:rPr>
          <w:b/>
        </w:rPr>
        <w:t xml:space="preserve">Legal Effect:</w:t>
      </w:r>
      <w:r>
        <w:t xml:space="preserve"> </w:t>
      </w:r>
      <w:r>
        <w:t xml:space="preserve">Savings clause ensuring that invalidation of individual provisions does not collapse entire statute.</w:t>
      </w:r>
    </w:p>
    <w:p>
      <w:pPr>
        <w:pStyle w:val="Heading4"/>
      </w:pPr>
      <w:bookmarkStart w:id="68" w:name="section-1703-effective-date"/>
      <w:r>
        <w:t xml:space="preserve">3.9.3 Section 1703: Effective Date</w:t>
      </w:r>
      <w:bookmarkEnd w:id="68"/>
    </w:p>
    <w:p>
      <w:pPr>
        <w:pStyle w:val="FirstParagraph"/>
      </w:pPr>
      <w:r>
        <w:rPr>
          <w:b/>
        </w:rPr>
        <w:t xml:space="preserve">Statutory Text (Pages 291):</w:t>
      </w:r>
    </w:p>
    <w:p>
      <w:pPr>
        <w:pStyle w:val="BodyText"/>
      </w:pPr>
      <w:r>
        <w:t xml:space="preserve">“</w:t>
      </w:r>
      <w:r>
        <w:t xml:space="preserve">Except as otherwise provided, this Act and the amendments made by this Act shall take effect on the date that is 180 days after the date of enactment of this Act.</w:t>
      </w:r>
      <w:r>
        <w:t xml:space="preserve">”</w:t>
      </w:r>
    </w:p>
    <w:p>
      <w:pPr>
        <w:pStyle w:val="BodyText"/>
      </w:pPr>
      <w:r>
        <w:rPr>
          <w:b/>
        </w:rPr>
        <w:t xml:space="preserve">Implementation Timeline:</w:t>
      </w:r>
      <w:r>
        <w:t xml:space="preserve"> </w:t>
      </w:r>
      <w:r>
        <w:t xml:space="preserve">- 180 days post-enactment: General effective date</w:t>
      </w:r>
      <w:r>
        <w:t xml:space="preserve"> </w:t>
      </w:r>
      <w:r>
        <w:t xml:space="preserve">- 120 days for OMB guidance on agency LLM procurement (Sec. 1601(c))</w:t>
      </w:r>
      <w:r>
        <w:t xml:space="preserve"> </w:t>
      </w:r>
      <w:r>
        <w:t xml:space="preserve">- 2 years for content provenance information requirements (Sec. 1405)</w:t>
      </w:r>
      <w:r>
        <w:t xml:space="preserve"> </w:t>
      </w:r>
      <w:r>
        <w:t xml:space="preserve">- 2 years for synthetic content detection public education (Sec. 1404)</w:t>
      </w:r>
    </w:p>
    <w:p>
      <w:pPr>
        <w:pStyle w:val="BodyText"/>
      </w:pPr>
      <w:r>
        <w:rPr>
          <w:b/>
        </w:rPr>
        <w:t xml:space="preserve">Phase-in Structure:</w:t>
      </w:r>
      <w:r>
        <w:t xml:space="preserve"> </w:t>
      </w:r>
      <w:r>
        <w:t xml:space="preserve">Key obligations front-loaded (governance, testing), transparency requirements phased in over 2 years.</w:t>
      </w:r>
    </w:p>
    <w:p>
      <w:r>
        <w:pict>
          <v:rect style="width:0;height:1.5pt" o:hralign="center" o:hrstd="t" o:hr="t"/>
        </w:pict>
      </w:r>
    </w:p>
    <w:p>
      <w:pPr>
        <w:pStyle w:val="Heading2"/>
      </w:pPr>
      <w:bookmarkStart w:id="69" w:name="X039f952cfdf031a3e56f9598dc2bcf51a29eee9"/>
      <w:r>
        <w:t xml:space="preserve">4. INTEROPERABILITY MAPPING: TRUMP ACT vs. EU AI ACT ARTICLES 6-15 and NIST AI RMF FUNCTIONS</w:t>
      </w:r>
      <w:bookmarkEnd w:id="69"/>
    </w:p>
    <w:p>
      <w:pPr>
        <w:pStyle w:val="Heading3"/>
      </w:pPr>
      <w:bookmarkStart w:id="70" w:name="risk-based-framework-comparison"/>
      <w:r>
        <w:t xml:space="preserve">4.1 Risk-Based Framework Comparison</w:t>
      </w:r>
      <w:bookmarkEnd w:id="70"/>
    </w:p>
    <w:p>
      <w:pPr>
        <w:pStyle w:val="Heading4"/>
      </w:pPr>
      <w:bookmarkStart w:id="71" w:name="risk-classification-architecture"/>
      <w:r>
        <w:t xml:space="preserve">Risk Classification Architecture</w:t>
      </w:r>
      <w:bookmarkEnd w:id="71"/>
    </w:p>
    <w:p>
      <w:pPr>
        <w:pStyle w:val="FirstParagraph"/>
      </w:pPr>
      <w:r>
        <w:rPr>
          <w:b/>
        </w:rPr>
        <w:t xml:space="preserve">EU AI Act (Articles 6-8):</w:t>
      </w:r>
      <w:r>
        <w:t xml:space="preserve"> </w:t>
      </w:r>
      <w:r>
        <w:t xml:space="preserve">-</w:t>
      </w:r>
      <w:r>
        <w:t xml:space="preserve"> </w:t>
      </w:r>
      <w:r>
        <w:rPr>
          <w:b/>
        </w:rPr>
        <w:t xml:space="preserve">Prohibited Risk</w:t>
      </w:r>
      <w:r>
        <w:t xml:space="preserve"> </w:t>
      </w:r>
      <w:r>
        <w:t xml:space="preserve">(Art. 5): AI systems with unacceptable risk (no authorization for deployment)</w:t>
      </w:r>
      <w:r>
        <w:t xml:space="preserve"> </w:t>
      </w:r>
      <w:r>
        <w:t xml:space="preserve">-</w:t>
      </w:r>
      <w:r>
        <w:t xml:space="preserve"> </w:t>
      </w:r>
      <w:r>
        <w:rPr>
          <w:b/>
        </w:rPr>
        <w:t xml:space="preserve">High-Risk AI Systems</w:t>
      </w:r>
      <w:r>
        <w:t xml:space="preserve"> </w:t>
      </w:r>
      <w:r>
        <w:t xml:space="preserve">(Annex III): 16 categories requiring detailed risk management, testing, and monitoring</w:t>
      </w:r>
      <w:r>
        <w:t xml:space="preserve"> </w:t>
      </w:r>
      <w:r>
        <w:t xml:space="preserve">-</w:t>
      </w:r>
      <w:r>
        <w:t xml:space="preserve"> </w:t>
      </w:r>
      <w:r>
        <w:rPr>
          <w:b/>
        </w:rPr>
        <w:t xml:space="preserve">Limited Risk</w:t>
      </w:r>
      <w:r>
        <w:t xml:space="preserve"> </w:t>
      </w:r>
      <w:r>
        <w:t xml:space="preserve">(Transparency): Requirements for transparency and disclosure</w:t>
      </w:r>
      <w:r>
        <w:t xml:space="preserve"> </w:t>
      </w:r>
      <w:r>
        <w:t xml:space="preserve">-</w:t>
      </w:r>
      <w:r>
        <w:t xml:space="preserve"> </w:t>
      </w:r>
      <w:r>
        <w:rPr>
          <w:b/>
        </w:rPr>
        <w:t xml:space="preserve">Minimal Risk</w:t>
      </w:r>
      <w:r>
        <w:t xml:space="preserve">: Market access without special requirements</w:t>
      </w:r>
    </w:p>
    <w:p>
      <w:pPr>
        <w:pStyle w:val="BodyText"/>
      </w:pPr>
      <w:r>
        <w:rPr>
          <w:b/>
        </w:rPr>
        <w:t xml:space="preserve">Categorical approach:</w:t>
      </w:r>
      <w:r>
        <w:t xml:space="preserve"> </w:t>
      </w:r>
      <w:r>
        <w:t xml:space="preserve">Fixed risk classes tied to application contexts (hiring, law enforcement, credit decisions, etc.) regardless of technical capability.</w:t>
      </w:r>
    </w:p>
    <w:p>
      <w:pPr>
        <w:pStyle w:val="BodyText"/>
      </w:pPr>
      <w:r>
        <w:rPr>
          <w:b/>
        </w:rPr>
        <w:t xml:space="preserve">NIST AI RMF:</w:t>
      </w:r>
      <w:r>
        <w:t xml:space="preserve"> </w:t>
      </w:r>
      <w:r>
        <w:t xml:space="preserve">-</w:t>
      </w:r>
      <w:r>
        <w:t xml:space="preserve"> </w:t>
      </w:r>
      <w:r>
        <w:rPr>
          <w:b/>
        </w:rPr>
        <w:t xml:space="preserve">Function-based approach:</w:t>
      </w:r>
      <w:r>
        <w:t xml:space="preserve"> </w:t>
      </w:r>
      <w:r>
        <w:t xml:space="preserve">Four functional areas (Govern, Map, Measure, Manage) applied across risk levels</w:t>
      </w:r>
      <w:r>
        <w:t xml:space="preserve"> </w:t>
      </w:r>
      <w:r>
        <w:t xml:space="preserve">- No pre-defined risk categories; risk determination based on organizational context and impact assessment</w:t>
      </w:r>
      <w:r>
        <w:t xml:space="preserve"> </w:t>
      </w:r>
      <w:r>
        <w:t xml:space="preserve">- Scalable to organizations of all sizes</w:t>
      </w:r>
    </w:p>
    <w:p>
      <w:pPr>
        <w:pStyle w:val="BodyText"/>
      </w:pPr>
      <w:r>
        <w:rPr>
          <w:b/>
        </w:rPr>
        <w:t xml:space="preserve">TRUMP AI Act:</w:t>
      </w:r>
      <w:r>
        <w:t xml:space="preserve"> </w:t>
      </w:r>
      <w:r>
        <w:t xml:space="preserve">-</w:t>
      </w:r>
      <w:r>
        <w:t xml:space="preserve"> </w:t>
      </w:r>
      <w:r>
        <w:rPr>
          <w:b/>
        </w:rPr>
        <w:t xml:space="preserve">Computational threshold trigger:</w:t>
      </w:r>
      <w:r>
        <w:t xml:space="preserve"> </w:t>
      </w:r>
      <w:r>
        <w:t xml:space="preserve">Covered advanced AI systems identified by training computational resources exceeding specified level</w:t>
      </w:r>
      <w:r>
        <w:t xml:space="preserve"> </w:t>
      </w:r>
      <w:r>
        <w:t xml:space="preserve">-</w:t>
      </w:r>
      <w:r>
        <w:t xml:space="preserve"> </w:t>
      </w:r>
      <w:r>
        <w:rPr>
          <w:b/>
        </w:rPr>
        <w:t xml:space="preserve">Risk indicators:</w:t>
      </w:r>
      <w:r>
        <w:t xml:space="preserve"> </w:t>
      </w:r>
      <w:r>
        <w:t xml:space="preserve">Loss-of-control risk assessment, systemic risk potential</w:t>
      </w:r>
      <w:r>
        <w:t xml:space="preserve"> </w:t>
      </w:r>
      <w:r>
        <w:t xml:space="preserve">-</w:t>
      </w:r>
      <w:r>
        <w:t xml:space="preserve"> </w:t>
      </w:r>
      <w:r>
        <w:rPr>
          <w:b/>
        </w:rPr>
        <w:t xml:space="preserve">Hybrid approach:</w:t>
      </w:r>
      <w:r>
        <w:t xml:space="preserve"> </w:t>
      </w:r>
      <w:r>
        <w:t xml:space="preserve">Combines computational capacity (objective measure) with risk assessment (contextual evaluation)</w:t>
      </w:r>
    </w:p>
    <w:p>
      <w:pPr>
        <w:pStyle w:val="Heading4"/>
      </w:pPr>
      <w:bookmarkStart w:id="72" w:name="X247aadcbce09cc898e7529dd89ef4bc0fdac3f6"/>
      <w:r>
        <w:t xml:space="preserve">Interoperability Finding 1: Risk Assessment Methodology</w:t>
      </w:r>
      <w:bookmarkEnd w:id="72"/>
    </w:p>
    <w:p>
      <w:pPr>
        <w:pStyle w:val="FirstParagraph"/>
      </w:pPr>
      <w:r>
        <w:t xml:space="preserve">TRUMP’s computational threshold creates</w:t>
      </w:r>
      <w:r>
        <w:t xml:space="preserve"> </w:t>
      </w:r>
      <w:r>
        <w:rPr>
          <w:b/>
        </w:rPr>
        <w:t xml:space="preserve">objective entry criterion</w:t>
      </w:r>
      <w:r>
        <w:t xml:space="preserve"> </w:t>
      </w:r>
      <w:r>
        <w:t xml:space="preserve">into regulatory framework, whereas EU relies on</w:t>
      </w:r>
      <w:r>
        <w:t xml:space="preserve"> </w:t>
      </w:r>
      <w:r>
        <w:rPr>
          <w:b/>
        </w:rPr>
        <w:t xml:space="preserve">categorical application context</w:t>
      </w:r>
      <w:r>
        <w:t xml:space="preserve">. NIST remains</w:t>
      </w:r>
      <w:r>
        <w:t xml:space="preserve"> </w:t>
      </w:r>
      <w:r>
        <w:rPr>
          <w:b/>
        </w:rPr>
        <w:t xml:space="preserve">agnostic to risk definition</w:t>
      </w:r>
      <w:r>
        <w:t xml:space="preserve">, providing functions for any organization to self-assess risk.</w:t>
      </w:r>
    </w:p>
    <w:p>
      <w:pPr>
        <w:pStyle w:val="BodyText"/>
      </w:pPr>
      <w:r>
        <w:rPr>
          <w:b/>
        </w:rPr>
        <w:t xml:space="preserve">Interoperability Challenge:</w:t>
      </w:r>
      <w:r>
        <w:t xml:space="preserve"> </w:t>
      </w:r>
      <w:r>
        <w:t xml:space="preserve">Different risk classification creates compliance fragmentation:</w:t>
      </w:r>
      <w:r>
        <w:t xml:space="preserve"> </w:t>
      </w:r>
      <w:r>
        <w:t xml:space="preserve">- EU: Same AI system may be high-risk (if used in hiring) or minimal risk (if used for research)</w:t>
      </w:r>
      <w:r>
        <w:t xml:space="preserve"> </w:t>
      </w:r>
      <w:r>
        <w:t xml:space="preserve">- TRUMP: Same AI system is either covered (exceeds computational threshold) or not covered</w:t>
      </w:r>
      <w:r>
        <w:t xml:space="preserve"> </w:t>
      </w:r>
      <w:r>
        <w:t xml:space="preserve">- NIST: Same AI system requires risk assessment regardless of threshold</w:t>
      </w:r>
    </w:p>
    <w:p>
      <w:pPr>
        <w:pStyle w:val="BodyText"/>
      </w:pPr>
      <w:r>
        <w:rPr>
          <w:b/>
        </w:rPr>
        <w:t xml:space="preserve">Thesis Implication:</w:t>
      </w:r>
      <w:r>
        <w:t xml:space="preserve"> </w:t>
      </w:r>
      <w:r>
        <w:t xml:space="preserve">Interoperability requires</w:t>
      </w:r>
      <w:r>
        <w:t xml:space="preserve"> </w:t>
      </w:r>
      <w:r>
        <w:rPr>
          <w:b/>
        </w:rPr>
        <w:t xml:space="preserve">translating between risk models</w:t>
      </w:r>
      <w:r>
        <w:t xml:space="preserve">—TRUMP’s computational threshold may not align with EU’s categorical approach, creating dual-compliance burden for transatlantic AI deployment.</w:t>
      </w:r>
    </w:p>
    <w:p>
      <w:r>
        <w:pict>
          <v:rect style="width:0;height:1.5pt" o:hralign="center" o:hrstd="t" o:hr="t"/>
        </w:pict>
      </w:r>
    </w:p>
    <w:p>
      <w:pPr>
        <w:pStyle w:val="Heading3"/>
      </w:pPr>
      <w:bookmarkStart w:id="73" w:name="X985d1c51f766d83f4ddd501abdb2e1441eb2cfa"/>
      <w:r>
        <w:t xml:space="preserve">4.2 Governance and Organizational Requirements</w:t>
      </w:r>
      <w:bookmarkEnd w:id="73"/>
    </w:p>
    <w:p>
      <w:pPr>
        <w:pStyle w:val="Heading4"/>
      </w:pPr>
      <w:bookmarkStart w:id="74" w:name="X0840abdfe4acaa22266f7496b35ea5084e5b699"/>
      <w:r>
        <w:t xml:space="preserve">EU AI Act Article 10 (High-Risk Requirements)</w:t>
      </w:r>
      <w:bookmarkEnd w:id="74"/>
    </w:p>
    <w:p>
      <w:pPr>
        <w:pStyle w:val="FirstParagraph"/>
      </w:pPr>
      <w:r>
        <w:t xml:space="preserve">Risk management system requirements:</w:t>
      </w:r>
      <w:r>
        <w:t xml:space="preserve"> </w:t>
      </w:r>
      <w:r>
        <w:t xml:space="preserve">- Risk management policy with governance structures</w:t>
      </w:r>
      <w:r>
        <w:t xml:space="preserve"> </w:t>
      </w:r>
      <w:r>
        <w:t xml:space="preserve">- Post-market monitoring and surveillance</w:t>
      </w:r>
      <w:r>
        <w:t xml:space="preserve"> </w:t>
      </w:r>
      <w:r>
        <w:t xml:space="preserve">- Documentation of decision-making processes</w:t>
      </w:r>
      <w:r>
        <w:t xml:space="preserve"> </w:t>
      </w:r>
      <w:r>
        <w:t xml:space="preserve">- Human oversight procedures</w:t>
      </w:r>
      <w:r>
        <w:t xml:space="preserve"> </w:t>
      </w:r>
      <w:r>
        <w:t xml:space="preserve">- Quality management system</w:t>
      </w:r>
      <w:r>
        <w:t xml:space="preserve"> </w:t>
      </w:r>
      <w:r>
        <w:t xml:space="preserve">- Incident reporting</w:t>
      </w:r>
    </w:p>
    <w:p>
      <w:pPr>
        <w:pStyle w:val="BodyText"/>
      </w:pPr>
      <w:r>
        <w:rPr>
          <w:b/>
        </w:rPr>
        <w:t xml:space="preserve">Prescriptive approach:</w:t>
      </w:r>
      <w:r>
        <w:t xml:space="preserve"> </w:t>
      </w:r>
      <w:r>
        <w:t xml:space="preserve">Specific requirements for risk management system components.</w:t>
      </w:r>
    </w:p>
    <w:p>
      <w:pPr>
        <w:pStyle w:val="Heading4"/>
      </w:pPr>
      <w:bookmarkStart w:id="75" w:name="nist-ai-rmf-govern-function"/>
      <w:r>
        <w:t xml:space="preserve">NIST AI RMF Govern Function</w:t>
      </w:r>
      <w:bookmarkEnd w:id="75"/>
    </w:p>
    <w:p>
      <w:pPr>
        <w:pStyle w:val="FirstParagraph"/>
      </w:pPr>
      <w:r>
        <w:t xml:space="preserve">Establishing</w:t>
      </w:r>
      <w:r>
        <w:t xml:space="preserve"> </w:t>
      </w:r>
      <w:r>
        <w:t xml:space="preserve">“</w:t>
      </w:r>
      <w:r>
        <w:t xml:space="preserve">structures, policies, processes, and procedures to enable effective AI risk management</w:t>
      </w:r>
      <w:r>
        <w:t xml:space="preserve">”</w:t>
      </w:r>
      <w:r>
        <w:t xml:space="preserve"> </w:t>
      </w:r>
      <w:r>
        <w:t xml:space="preserve">with:</w:t>
      </w:r>
      <w:r>
        <w:t xml:space="preserve"> </w:t>
      </w:r>
      <w:r>
        <w:t xml:space="preserve">- Governance infrastructure</w:t>
      </w:r>
      <w:r>
        <w:t xml:space="preserve"> </w:t>
      </w:r>
      <w:r>
        <w:t xml:space="preserve">- Accountability structures</w:t>
      </w:r>
      <w:r>
        <w:t xml:space="preserve"> </w:t>
      </w:r>
      <w:r>
        <w:t xml:space="preserve">- Policy frameworks</w:t>
      </w:r>
      <w:r>
        <w:t xml:space="preserve"> </w:t>
      </w:r>
      <w:r>
        <w:t xml:space="preserve">- Resource allocation</w:t>
      </w:r>
      <w:r>
        <w:t xml:space="preserve"> </w:t>
      </w:r>
      <w:r>
        <w:t xml:space="preserve">- Training and competency development</w:t>
      </w:r>
    </w:p>
    <w:p>
      <w:pPr>
        <w:pStyle w:val="BodyText"/>
      </w:pPr>
      <w:r>
        <w:rPr>
          <w:b/>
        </w:rPr>
        <w:t xml:space="preserve">Principle-based approach:</w:t>
      </w:r>
      <w:r>
        <w:t xml:space="preserve"> </w:t>
      </w:r>
      <w:r>
        <w:t xml:space="preserve">Functions without prescribing specific governance structure.</w:t>
      </w:r>
    </w:p>
    <w:p>
      <w:pPr>
        <w:pStyle w:val="Heading4"/>
      </w:pPr>
      <w:bookmarkStart w:id="76" w:name="trump-ai-act-section-602"/>
      <w:r>
        <w:t xml:space="preserve">TRUMP AI Act Section 602</w:t>
      </w:r>
      <w:bookmarkEnd w:id="76"/>
    </w:p>
    <w:p>
      <w:pPr>
        <w:pStyle w:val="FirstParagraph"/>
      </w:pPr>
      <w:r>
        <w:t xml:space="preserve">“</w:t>
      </w:r>
      <w:r>
        <w:t xml:space="preserve">Governance frameworks</w:t>
      </w:r>
      <w:r>
        <w:t xml:space="preserve">”</w:t>
      </w:r>
      <w:r>
        <w:t xml:space="preserve"> </w:t>
      </w:r>
      <w:r>
        <w:t xml:space="preserve">requirements:</w:t>
      </w:r>
      <w:r>
        <w:t xml:space="preserve"> </w:t>
      </w:r>
      <w:r>
        <w:t xml:space="preserve">- Computational resource monitoring and thresholds</w:t>
      </w:r>
      <w:r>
        <w:t xml:space="preserve"> </w:t>
      </w:r>
      <w:r>
        <w:t xml:space="preserve">- Risk assessment protocols</w:t>
      </w:r>
      <w:r>
        <w:t xml:space="preserve"> </w:t>
      </w:r>
      <w:r>
        <w:t xml:space="preserve">- Testing and evaluation procedures</w:t>
      </w:r>
      <w:r>
        <w:t xml:space="preserve"> </w:t>
      </w:r>
      <w:r>
        <w:t xml:space="preserve">- Incident reporting mechanisms</w:t>
      </w:r>
      <w:r>
        <w:t xml:space="preserve"> </w:t>
      </w:r>
      <w:r>
        <w:t xml:space="preserve">- Third-party assessment participation</w:t>
      </w:r>
    </w:p>
    <w:p>
      <w:pPr>
        <w:pStyle w:val="BodyText"/>
      </w:pPr>
      <w:r>
        <w:rPr>
          <w:b/>
        </w:rPr>
        <w:t xml:space="preserve">Hybrid approach:</w:t>
      </w:r>
      <w:r>
        <w:t xml:space="preserve"> </w:t>
      </w:r>
      <w:r>
        <w:t xml:space="preserve">Specific governance elements (computational monitoring, testing participation) combined with general governance framework requirement.</w:t>
      </w:r>
    </w:p>
    <w:p>
      <w:pPr>
        <w:pStyle w:val="Heading4"/>
      </w:pPr>
      <w:bookmarkStart w:id="77" w:name="X604d19140ffe9a67f66695aebe2e77d9b47f6dd"/>
      <w:r>
        <w:t xml:space="preserve">Interoperability Mapping 2: Governance Architecture</w:t>
      </w:r>
      <w:bookmarkEnd w:id="7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Governance Element</w:t>
            </w:r>
          </w:p>
        </w:tc>
        <w:tc>
          <w:tcPr>
            <w:tcBorders>
              <w:bottom w:val="single"/>
            </w:tcBorders>
            <w:vAlign w:val="bottom"/>
          </w:tcPr>
          <w:p>
            <w:pPr>
              <w:pStyle w:val="Compact"/>
              <w:jc w:val="left"/>
            </w:pPr>
            <w:r>
              <w:t xml:space="preserve">EU AI Act Art. 10</w:t>
            </w:r>
          </w:p>
        </w:tc>
        <w:tc>
          <w:tcPr>
            <w:tcBorders>
              <w:bottom w:val="single"/>
            </w:tcBorders>
            <w:vAlign w:val="bottom"/>
          </w:tcPr>
          <w:p>
            <w:pPr>
              <w:pStyle w:val="Compact"/>
              <w:jc w:val="left"/>
            </w:pPr>
            <w:r>
              <w:t xml:space="preserve">NIST Govern</w:t>
            </w:r>
          </w:p>
        </w:tc>
        <w:tc>
          <w:tcPr>
            <w:tcBorders>
              <w:bottom w:val="single"/>
            </w:tcBorders>
            <w:vAlign w:val="bottom"/>
          </w:tcPr>
          <w:p>
            <w:pPr>
              <w:pStyle w:val="Compact"/>
              <w:jc w:val="left"/>
            </w:pPr>
            <w:r>
              <w:t xml:space="preserve">TRUMP Sec. 602</w:t>
            </w:r>
          </w:p>
        </w:tc>
      </w:tr>
      <w:tr>
        <w:tc>
          <w:p>
            <w:pPr>
              <w:pStyle w:val="Compact"/>
              <w:jc w:val="left"/>
            </w:pPr>
            <w:r>
              <w:rPr>
                <w:b/>
              </w:rPr>
              <w:t xml:space="preserve">Risk Management System</w:t>
            </w:r>
          </w:p>
        </w:tc>
        <w:tc>
          <w:p>
            <w:pPr>
              <w:pStyle w:val="Compact"/>
              <w:jc w:val="left"/>
            </w:pPr>
            <w:r>
              <w:t xml:space="preserve">Required, specific components</w:t>
            </w:r>
          </w:p>
        </w:tc>
        <w:tc>
          <w:p>
            <w:pPr>
              <w:pStyle w:val="Compact"/>
              <w:jc w:val="left"/>
            </w:pPr>
            <w:r>
              <w:t xml:space="preserve">Foundational principle</w:t>
            </w:r>
          </w:p>
        </w:tc>
        <w:tc>
          <w:p>
            <w:pPr>
              <w:pStyle w:val="Compact"/>
              <w:jc w:val="left"/>
            </w:pPr>
            <w:r>
              <w:t xml:space="preserve">Framework requirement</w:t>
            </w:r>
          </w:p>
        </w:tc>
      </w:tr>
      <w:tr>
        <w:tc>
          <w:p>
            <w:pPr>
              <w:pStyle w:val="Compact"/>
              <w:jc w:val="left"/>
            </w:pPr>
            <w:r>
              <w:rPr>
                <w:b/>
              </w:rPr>
              <w:t xml:space="preserve">Documentation</w:t>
            </w:r>
          </w:p>
        </w:tc>
        <w:tc>
          <w:p>
            <w:pPr>
              <w:pStyle w:val="Compact"/>
              <w:jc w:val="left"/>
            </w:pPr>
            <w:r>
              <w:t xml:space="preserve">Mandatory with specific content</w:t>
            </w:r>
          </w:p>
        </w:tc>
        <w:tc>
          <w:p>
            <w:pPr>
              <w:pStyle w:val="Compact"/>
              <w:jc w:val="left"/>
            </w:pPr>
            <w:r>
              <w:t xml:space="preserve">Component of Govern</w:t>
            </w:r>
          </w:p>
        </w:tc>
        <w:tc>
          <w:p>
            <w:pPr>
              <w:pStyle w:val="Compact"/>
              <w:jc w:val="left"/>
            </w:pPr>
            <w:r>
              <w:t xml:space="preserve">Formal testing reports</w:t>
            </w:r>
          </w:p>
        </w:tc>
      </w:tr>
      <w:tr>
        <w:tc>
          <w:p>
            <w:pPr>
              <w:pStyle w:val="Compact"/>
              <w:jc w:val="left"/>
            </w:pPr>
            <w:r>
              <w:rPr>
                <w:b/>
              </w:rPr>
              <w:t xml:space="preserve">Human Oversight</w:t>
            </w:r>
          </w:p>
        </w:tc>
        <w:tc>
          <w:p>
            <w:pPr>
              <w:pStyle w:val="Compact"/>
              <w:jc w:val="left"/>
            </w:pPr>
            <w:r>
              <w:t xml:space="preserve">Explicitly required procedures</w:t>
            </w:r>
          </w:p>
        </w:tc>
        <w:tc>
          <w:p>
            <w:pPr>
              <w:pStyle w:val="Compact"/>
              <w:jc w:val="left"/>
            </w:pPr>
            <w:r>
              <w:t xml:space="preserve">Addressed through governance</w:t>
            </w:r>
          </w:p>
        </w:tc>
        <w:tc>
          <w:p>
            <w:pPr>
              <w:pStyle w:val="Compact"/>
              <w:jc w:val="left"/>
            </w:pPr>
            <w:r>
              <w:t xml:space="preserve">Not explicitly required</w:t>
            </w:r>
          </w:p>
        </w:tc>
      </w:tr>
      <w:tr>
        <w:tc>
          <w:p>
            <w:pPr>
              <w:pStyle w:val="Compact"/>
              <w:jc w:val="left"/>
            </w:pPr>
            <w:r>
              <w:rPr>
                <w:b/>
              </w:rPr>
              <w:t xml:space="preserve">Computational Resource Monitoring</w:t>
            </w:r>
          </w:p>
        </w:tc>
        <w:tc>
          <w:p>
            <w:pPr>
              <w:pStyle w:val="Compact"/>
              <w:jc w:val="left"/>
            </w:pPr>
            <w:r>
              <w:t xml:space="preserve">Not mentioned</w:t>
            </w:r>
          </w:p>
        </w:tc>
        <w:tc>
          <w:p>
            <w:pPr>
              <w:pStyle w:val="Compact"/>
              <w:jc w:val="left"/>
            </w:pPr>
            <w:r>
              <w:t xml:space="preserve">Not mentioned</w:t>
            </w:r>
          </w:p>
        </w:tc>
        <w:tc>
          <w:p>
            <w:pPr>
              <w:pStyle w:val="Compact"/>
              <w:jc w:val="left"/>
            </w:pPr>
            <w:r>
              <w:rPr>
                <w:b/>
              </w:rPr>
              <w:t xml:space="preserve">Explicitly required</w:t>
            </w:r>
          </w:p>
        </w:tc>
      </w:tr>
      <w:tr>
        <w:tc>
          <w:p>
            <w:pPr>
              <w:pStyle w:val="Compact"/>
              <w:jc w:val="left"/>
            </w:pPr>
            <w:r>
              <w:rPr>
                <w:b/>
              </w:rPr>
              <w:t xml:space="preserve">Third-Party Assessment</w:t>
            </w:r>
          </w:p>
        </w:tc>
        <w:tc>
          <w:p>
            <w:pPr>
              <w:pStyle w:val="Compact"/>
              <w:jc w:val="left"/>
            </w:pPr>
            <w:r>
              <w:t xml:space="preserve">Notified body involvement for high-risk</w:t>
            </w:r>
          </w:p>
        </w:tc>
        <w:tc>
          <w:p>
            <w:pPr>
              <w:pStyle w:val="Compact"/>
              <w:jc w:val="left"/>
            </w:pPr>
            <w:r>
              <w:t xml:space="preserve">Not mandated</w:t>
            </w:r>
          </w:p>
        </w:tc>
        <w:tc>
          <w:p>
            <w:pPr>
              <w:pStyle w:val="Compact"/>
              <w:jc w:val="left"/>
            </w:pPr>
            <w:r>
              <w:rPr>
                <w:b/>
              </w:rPr>
              <w:t xml:space="preserve">Required participation</w:t>
            </w:r>
          </w:p>
        </w:tc>
      </w:tr>
      <w:tr>
        <w:tc>
          <w:p>
            <w:pPr>
              <w:pStyle w:val="Compact"/>
              <w:jc w:val="left"/>
            </w:pPr>
            <w:r>
              <w:rPr>
                <w:b/>
              </w:rPr>
              <w:t xml:space="preserve">Flexibility</w:t>
            </w:r>
          </w:p>
        </w:tc>
        <w:tc>
          <w:p>
            <w:pPr>
              <w:pStyle w:val="Compact"/>
              <w:jc w:val="left"/>
            </w:pPr>
            <w:r>
              <w:t xml:space="preserve">Limited (specific requirements)</w:t>
            </w:r>
          </w:p>
        </w:tc>
        <w:tc>
          <w:p>
            <w:pPr>
              <w:pStyle w:val="Compact"/>
              <w:jc w:val="left"/>
            </w:pPr>
            <w:r>
              <w:t xml:space="preserve">Maximum (function-based)</w:t>
            </w:r>
          </w:p>
        </w:tc>
        <w:tc>
          <w:p>
            <w:pPr>
              <w:pStyle w:val="Compact"/>
              <w:jc w:val="left"/>
            </w:pPr>
            <w:r>
              <w:t xml:space="preserve">Medium (hybrid approach)</w:t>
            </w:r>
          </w:p>
        </w:tc>
      </w:tr>
    </w:tbl>
    <w:p>
      <w:pPr>
        <w:pStyle w:val="BodyText"/>
      </w:pPr>
      <w:r>
        <w:rPr>
          <w:b/>
        </w:rPr>
        <w:t xml:space="preserve">Thesis Finding:</w:t>
      </w:r>
      <w:r>
        <w:t xml:space="preserve"> </w:t>
      </w:r>
      <w:r>
        <w:t xml:space="preserve">TRUMP adds computational resource monitoring requirement unique among three frameworks, creating new data collection obligation for covered developers.</w:t>
      </w:r>
    </w:p>
    <w:p>
      <w:r>
        <w:pict>
          <v:rect style="width:0;height:1.5pt" o:hralign="center" o:hrstd="t" o:hr="t"/>
        </w:pict>
      </w:r>
    </w:p>
    <w:p>
      <w:pPr>
        <w:pStyle w:val="Heading3"/>
      </w:pPr>
      <w:bookmarkStart w:id="78" w:name="X09c378e1ce1aac3c87c3187d28992ed40bfc9a9"/>
      <w:r>
        <w:t xml:space="preserve">4.3 Testing, Evaluation, and Transparency Requirements</w:t>
      </w:r>
      <w:bookmarkEnd w:id="78"/>
    </w:p>
    <w:p>
      <w:pPr>
        <w:pStyle w:val="Heading4"/>
      </w:pPr>
      <w:bookmarkStart w:id="79" w:name="Xac006a977f283673f64cbb727b79b38ee4f681d"/>
      <w:r>
        <w:t xml:space="preserve">EU AI Act Articles 10, 15 (Testing and Transparency)</w:t>
      </w:r>
      <w:bookmarkEnd w:id="79"/>
    </w:p>
    <w:p>
      <w:pPr>
        <w:pStyle w:val="FirstParagraph"/>
      </w:pPr>
      <w:r>
        <w:t xml:space="preserve">High-risk AI systems must undergo:</w:t>
      </w:r>
      <w:r>
        <w:t xml:space="preserve"> </w:t>
      </w:r>
      <w:r>
        <w:t xml:space="preserve">- Conformity assessment (notified body verification)</w:t>
      </w:r>
      <w:r>
        <w:t xml:space="preserve"> </w:t>
      </w:r>
      <w:r>
        <w:t xml:space="preserve">- Accuracy, robustness, and cybersecurity testing</w:t>
      </w:r>
      <w:r>
        <w:t xml:space="preserve"> </w:t>
      </w:r>
      <w:r>
        <w:t xml:space="preserve">- Bias and discrimination assessment</w:t>
      </w:r>
      <w:r>
        <w:t xml:space="preserve"> </w:t>
      </w:r>
      <w:r>
        <w:t xml:space="preserve">- Human oversight documentation</w:t>
      </w:r>
    </w:p>
    <w:p>
      <w:pPr>
        <w:pStyle w:val="BodyText"/>
      </w:pPr>
      <w:r>
        <w:t xml:space="preserve">Transparency:</w:t>
      </w:r>
      <w:r>
        <w:t xml:space="preserve"> </w:t>
      </w:r>
      <w:r>
        <w:t xml:space="preserve">“</w:t>
      </w:r>
      <w:r>
        <w:t xml:space="preserve">Appropriate information</w:t>
      </w:r>
      <w:r>
        <w:t xml:space="preserve">”</w:t>
      </w:r>
      <w:r>
        <w:t xml:space="preserve"> </w:t>
      </w:r>
      <w:r>
        <w:t xml:space="preserve">to deployers regarding system functionality and limitations.</w:t>
      </w:r>
    </w:p>
    <w:p>
      <w:pPr>
        <w:pStyle w:val="Heading4"/>
      </w:pPr>
      <w:bookmarkStart w:id="80" w:name="nist-ai-rmf-measure-function"/>
      <w:r>
        <w:t xml:space="preserve">NIST AI RMF Measure Function</w:t>
      </w:r>
      <w:bookmarkEnd w:id="80"/>
    </w:p>
    <w:p>
      <w:pPr>
        <w:pStyle w:val="FirstParagraph"/>
      </w:pPr>
      <w:r>
        <w:t xml:space="preserve">“</w:t>
      </w:r>
      <w:r>
        <w:t xml:space="preserve">Determining, conducting, and documenting performance and impact assessments</w:t>
      </w:r>
      <w:r>
        <w:t xml:space="preserve">”</w:t>
      </w:r>
      <w:r>
        <w:t xml:space="preserve"> </w:t>
      </w:r>
      <w:r>
        <w:t xml:space="preserve">including:</w:t>
      </w:r>
      <w:r>
        <w:t xml:space="preserve"> </w:t>
      </w:r>
      <w:r>
        <w:t xml:space="preserve">- Performance measurement</w:t>
      </w:r>
      <w:r>
        <w:t xml:space="preserve"> </w:t>
      </w:r>
      <w:r>
        <w:t xml:space="preserve">- Impact assessment</w:t>
      </w:r>
      <w:r>
        <w:t xml:space="preserve"> </w:t>
      </w:r>
      <w:r>
        <w:t xml:space="preserve">- Testing and validation</w:t>
      </w:r>
      <w:r>
        <w:t xml:space="preserve"> </w:t>
      </w:r>
      <w:r>
        <w:t xml:space="preserve">- Monitoring and evaluation</w:t>
      </w:r>
      <w:r>
        <w:t xml:space="preserve"> </w:t>
      </w:r>
      <w:r>
        <w:t xml:space="preserve">- Benchmark development</w:t>
      </w:r>
    </w:p>
    <w:p>
      <w:pPr>
        <w:pStyle w:val="Heading4"/>
      </w:pPr>
      <w:bookmarkStart w:id="81" w:name="trump-ai-act-sections-602-603"/>
      <w:r>
        <w:t xml:space="preserve">TRUMP AI Act Sections 602-603</w:t>
      </w:r>
      <w:bookmarkEnd w:id="81"/>
    </w:p>
    <w:p>
      <w:pPr>
        <w:pStyle w:val="FirstParagraph"/>
      </w:pPr>
      <w:r>
        <w:t xml:space="preserve">Testing requirements:</w:t>
      </w:r>
      <w:r>
        <w:t xml:space="preserve"> </w:t>
      </w:r>
      <w:r>
        <w:t xml:space="preserve">- Standardized testing protocols (Sec. 603)</w:t>
      </w:r>
      <w:r>
        <w:t xml:space="preserve"> </w:t>
      </w:r>
      <w:r>
        <w:t xml:space="preserve">- Red-team adversarial testing (Sec. 602)</w:t>
      </w:r>
      <w:r>
        <w:t xml:space="preserve"> </w:t>
      </w:r>
      <w:r>
        <w:t xml:space="preserve">- Third-party blind model evaluations (Sec. 602)</w:t>
      </w:r>
      <w:r>
        <w:t xml:space="preserve"> </w:t>
      </w:r>
      <w:r>
        <w:t xml:space="preserve">- Formal testing reports documenting results (Sec. 602)</w:t>
      </w:r>
      <w:r>
        <w:t xml:space="preserve"> </w:t>
      </w:r>
      <w:r>
        <w:t xml:space="preserve">- Federal evaluation program within Department of Energy (Sec. 603)</w:t>
      </w:r>
    </w:p>
    <w:p>
      <w:pPr>
        <w:pStyle w:val="Heading4"/>
      </w:pPr>
      <w:bookmarkStart w:id="82" w:name="X7737b81fd98b2437b9ee5c4550d916da1c09549"/>
      <w:r>
        <w:t xml:space="preserve">Interoperability Mapping 3: Testing and Evaluation</w:t>
      </w:r>
      <w:bookmarkEnd w:id="8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Testing Element</w:t>
            </w:r>
          </w:p>
        </w:tc>
        <w:tc>
          <w:tcPr>
            <w:tcBorders>
              <w:bottom w:val="single"/>
            </w:tcBorders>
            <w:vAlign w:val="bottom"/>
          </w:tcPr>
          <w:p>
            <w:pPr>
              <w:pStyle w:val="Compact"/>
              <w:jc w:val="left"/>
            </w:pPr>
            <w:r>
              <w:t xml:space="preserve">EU AI Act Art. 10</w:t>
            </w:r>
          </w:p>
        </w:tc>
        <w:tc>
          <w:tcPr>
            <w:tcBorders>
              <w:bottom w:val="single"/>
            </w:tcBorders>
            <w:vAlign w:val="bottom"/>
          </w:tcPr>
          <w:p>
            <w:pPr>
              <w:pStyle w:val="Compact"/>
              <w:jc w:val="left"/>
            </w:pPr>
            <w:r>
              <w:t xml:space="preserve">NIST Measure</w:t>
            </w:r>
          </w:p>
        </w:tc>
        <w:tc>
          <w:tcPr>
            <w:tcBorders>
              <w:bottom w:val="single"/>
            </w:tcBorders>
            <w:vAlign w:val="bottom"/>
          </w:tcPr>
          <w:p>
            <w:pPr>
              <w:pStyle w:val="Compact"/>
              <w:jc w:val="left"/>
            </w:pPr>
            <w:r>
              <w:t xml:space="preserve">TRUMP Sec. 602-603</w:t>
            </w:r>
          </w:p>
        </w:tc>
      </w:tr>
      <w:tr>
        <w:tc>
          <w:p>
            <w:pPr>
              <w:pStyle w:val="Compact"/>
              <w:jc w:val="left"/>
            </w:pPr>
            <w:r>
              <w:rPr>
                <w:b/>
              </w:rPr>
              <w:t xml:space="preserve">Standardized Testing</w:t>
            </w:r>
          </w:p>
        </w:tc>
        <w:tc>
          <w:p>
            <w:pPr>
              <w:pStyle w:val="Compact"/>
              <w:jc w:val="left"/>
            </w:pPr>
            <w:r>
              <w:t xml:space="preserve">Per EU standards</w:t>
            </w:r>
          </w:p>
        </w:tc>
        <w:tc>
          <w:p>
            <w:pPr>
              <w:pStyle w:val="Compact"/>
              <w:jc w:val="left"/>
            </w:pPr>
            <w:r>
              <w:t xml:space="preserve">Principle-based</w:t>
            </w:r>
          </w:p>
        </w:tc>
        <w:tc>
          <w:p>
            <w:pPr>
              <w:pStyle w:val="Compact"/>
              <w:jc w:val="left"/>
            </w:pPr>
            <w:r>
              <w:rPr>
                <w:b/>
              </w:rPr>
              <w:t xml:space="preserve">Federal program (DOE)</w:t>
            </w:r>
          </w:p>
        </w:tc>
      </w:tr>
      <w:tr>
        <w:tc>
          <w:p>
            <w:pPr>
              <w:pStyle w:val="Compact"/>
              <w:jc w:val="left"/>
            </w:pPr>
            <w:r>
              <w:rPr>
                <w:b/>
              </w:rPr>
              <w:t xml:space="preserve">Red-Team Testing</w:t>
            </w:r>
          </w:p>
        </w:tc>
        <w:tc>
          <w:p>
            <w:pPr>
              <w:pStyle w:val="Compact"/>
              <w:jc w:val="left"/>
            </w:pPr>
            <w:r>
              <w:t xml:space="preserve">Implicit in adversarial robustness</w:t>
            </w:r>
          </w:p>
        </w:tc>
        <w:tc>
          <w:p>
            <w:pPr>
              <w:pStyle w:val="Compact"/>
              <w:jc w:val="left"/>
            </w:pPr>
            <w:r>
              <w:t xml:space="preserve">Included in evaluation</w:t>
            </w:r>
          </w:p>
        </w:tc>
        <w:tc>
          <w:p>
            <w:pPr>
              <w:pStyle w:val="Compact"/>
              <w:jc w:val="left"/>
            </w:pPr>
            <w:r>
              <w:rPr>
                <w:b/>
              </w:rPr>
              <w:t xml:space="preserve">Explicitly mandated</w:t>
            </w:r>
          </w:p>
        </w:tc>
      </w:tr>
      <w:tr>
        <w:tc>
          <w:p>
            <w:pPr>
              <w:pStyle w:val="Compact"/>
              <w:jc w:val="left"/>
            </w:pPr>
            <w:r>
              <w:rPr>
                <w:b/>
              </w:rPr>
              <w:t xml:space="preserve">Third-Party Assessment</w:t>
            </w:r>
          </w:p>
        </w:tc>
        <w:tc>
          <w:p>
            <w:pPr>
              <w:pStyle w:val="Compact"/>
              <w:jc w:val="left"/>
            </w:pPr>
            <w:r>
              <w:t xml:space="preserve">Notified body (specific list)</w:t>
            </w:r>
          </w:p>
        </w:tc>
        <w:tc>
          <w:p>
            <w:pPr>
              <w:pStyle w:val="Compact"/>
              <w:jc w:val="left"/>
            </w:pPr>
            <w:r>
              <w:t xml:space="preserve">Not required</w:t>
            </w:r>
          </w:p>
        </w:tc>
        <w:tc>
          <w:p>
            <w:pPr>
              <w:pStyle w:val="Compact"/>
              <w:jc w:val="left"/>
            </w:pPr>
            <w:r>
              <w:rPr>
                <w:b/>
              </w:rPr>
              <w:t xml:space="preserve">Required, with blind evaluation</w:t>
            </w:r>
          </w:p>
        </w:tc>
      </w:tr>
      <w:tr>
        <w:tc>
          <w:p>
            <w:pPr>
              <w:pStyle w:val="Compact"/>
              <w:jc w:val="left"/>
            </w:pPr>
            <w:r>
              <w:rPr>
                <w:b/>
              </w:rPr>
              <w:t xml:space="preserve">Formal Reports</w:t>
            </w:r>
          </w:p>
        </w:tc>
        <w:tc>
          <w:p>
            <w:pPr>
              <w:pStyle w:val="Compact"/>
              <w:jc w:val="left"/>
            </w:pPr>
            <w:r>
              <w:t xml:space="preserve">Required for conformity</w:t>
            </w:r>
          </w:p>
        </w:tc>
        <w:tc>
          <w:p>
            <w:pPr>
              <w:pStyle w:val="Compact"/>
              <w:jc w:val="left"/>
            </w:pPr>
            <w:r>
              <w:t xml:space="preserve">Evaluation documentation</w:t>
            </w:r>
          </w:p>
        </w:tc>
        <w:tc>
          <w:p>
            <w:pPr>
              <w:pStyle w:val="Compact"/>
              <w:jc w:val="left"/>
            </w:pPr>
            <w:r>
              <w:rPr>
                <w:b/>
              </w:rPr>
              <w:t xml:space="preserve">Required with specific content</w:t>
            </w:r>
          </w:p>
        </w:tc>
      </w:tr>
      <w:tr>
        <w:tc>
          <w:p>
            <w:pPr>
              <w:pStyle w:val="Compact"/>
              <w:jc w:val="left"/>
            </w:pPr>
            <w:r>
              <w:rPr>
                <w:b/>
              </w:rPr>
              <w:t xml:space="preserve">Public Availability</w:t>
            </w:r>
          </w:p>
        </w:tc>
        <w:tc>
          <w:p>
            <w:pPr>
              <w:pStyle w:val="Compact"/>
              <w:jc w:val="left"/>
            </w:pPr>
            <w:r>
              <w:t xml:space="preserve">Limited (confidential to authorities)</w:t>
            </w:r>
          </w:p>
        </w:tc>
        <w:tc>
          <w:p>
            <w:pPr>
              <w:pStyle w:val="Compact"/>
              <w:jc w:val="left"/>
            </w:pPr>
            <w:r>
              <w:t xml:space="preserve">Organization-specific</w:t>
            </w:r>
          </w:p>
        </w:tc>
        <w:tc>
          <w:p>
            <w:pPr>
              <w:pStyle w:val="Compact"/>
              <w:jc w:val="left"/>
            </w:pPr>
            <w:r>
              <w:rPr>
                <w:b/>
              </w:rPr>
              <w:t xml:space="preserve">Federal evaluation reports</w:t>
            </w:r>
          </w:p>
        </w:tc>
      </w:tr>
      <w:tr>
        <w:tc>
          <w:p>
            <w:pPr>
              <w:pStyle w:val="Compact"/>
              <w:jc w:val="left"/>
            </w:pPr>
            <w:r>
              <w:rPr>
                <w:b/>
              </w:rPr>
              <w:t xml:space="preserve">Testing Infrastructure</w:t>
            </w:r>
          </w:p>
        </w:tc>
        <w:tc>
          <w:p>
            <w:pPr>
              <w:pStyle w:val="Compact"/>
              <w:jc w:val="left"/>
            </w:pPr>
            <w:r>
              <w:t xml:space="preserve">Distributed to notified bodies</w:t>
            </w:r>
          </w:p>
        </w:tc>
        <w:tc>
          <w:p>
            <w:pPr>
              <w:pStyle w:val="Compact"/>
              <w:jc w:val="left"/>
            </w:pPr>
            <w:r>
              <w:t xml:space="preserve">Organization-based</w:t>
            </w:r>
          </w:p>
        </w:tc>
        <w:tc>
          <w:p>
            <w:pPr>
              <w:pStyle w:val="Compact"/>
              <w:jc w:val="left"/>
            </w:pPr>
            <w:r>
              <w:rPr>
                <w:b/>
              </w:rPr>
              <w:t xml:space="preserve">Centralized (DOE testbed)</w:t>
            </w:r>
          </w:p>
        </w:tc>
      </w:tr>
    </w:tbl>
    <w:p>
      <w:pPr>
        <w:pStyle w:val="BodyText"/>
      </w:pPr>
      <w:r>
        <w:rPr>
          <w:b/>
        </w:rPr>
        <w:t xml:space="preserve">Thesis Finding:</w:t>
      </w:r>
      <w:r>
        <w:t xml:space="preserve"> </w:t>
      </w:r>
      <w:r>
        <w:t xml:space="preserve">TRUMP creates federal testing infrastructure (Section 603 - DOE evaluation program) with centralized red-teaming capability, exceeding both EU reliance on dispersed notified bodies and NIST’s organizational self-assessment model.</w:t>
      </w:r>
    </w:p>
    <w:p>
      <w:r>
        <w:pict>
          <v:rect style="width:0;height:1.5pt" o:hralign="center" o:hrstd="t" o:hr="t"/>
        </w:pict>
      </w:r>
    </w:p>
    <w:p>
      <w:pPr>
        <w:pStyle w:val="Heading3"/>
      </w:pPr>
      <w:bookmarkStart w:id="83" w:name="Xe89e5b14a130e3ee69376cad3ff1d248226e8eb"/>
      <w:r>
        <w:t xml:space="preserve">4.4 Transparency and Explainability Requirements</w:t>
      </w:r>
      <w:bookmarkEnd w:id="83"/>
    </w:p>
    <w:p>
      <w:pPr>
        <w:pStyle w:val="Heading4"/>
      </w:pPr>
      <w:bookmarkStart w:id="84" w:name="Xf860a819a04a1b5c2da366f923980f627f45255"/>
      <w:r>
        <w:t xml:space="preserve">EU AI Act Article 13 (Transparency Obligations)</w:t>
      </w:r>
      <w:bookmarkEnd w:id="84"/>
    </w:p>
    <w:p>
      <w:pPr>
        <w:pStyle w:val="FirstParagraph"/>
      </w:pPr>
      <w:r>
        <w:t xml:space="preserve">Providers must ensure:</w:t>
      </w:r>
      <w:r>
        <w:t xml:space="preserve"> </w:t>
      </w:r>
      <w:r>
        <w:t xml:space="preserve">- High-risk AI system functionality is transparent to deployers</w:t>
      </w:r>
      <w:r>
        <w:t xml:space="preserve"> </w:t>
      </w:r>
      <w:r>
        <w:t xml:space="preserve">- Deployers understand decision-making processes</w:t>
      </w:r>
      <w:r>
        <w:t xml:space="preserve"> </w:t>
      </w:r>
      <w:r>
        <w:t xml:space="preserve">- Users aware they are interacting with AI</w:t>
      </w:r>
      <w:r>
        <w:t xml:space="preserve"> </w:t>
      </w:r>
      <w:r>
        <w:t xml:space="preserve">- Documentation of</w:t>
      </w:r>
      <w:r>
        <w:t xml:space="preserve"> </w:t>
      </w:r>
      <w:r>
        <w:t xml:space="preserve">“</w:t>
      </w:r>
      <w:r>
        <w:t xml:space="preserve">human-interpretable</w:t>
      </w:r>
      <w:r>
        <w:t xml:space="preserve">”</w:t>
      </w:r>
      <w:r>
        <w:t xml:space="preserve"> </w:t>
      </w:r>
      <w:r>
        <w:t xml:space="preserve">explanation of AI decisions</w:t>
      </w:r>
    </w:p>
    <w:p>
      <w:pPr>
        <w:pStyle w:val="BodyText"/>
      </w:pPr>
      <w:r>
        <w:t xml:space="preserve">Requirement level:</w:t>
      </w:r>
      <w:r>
        <w:t xml:space="preserve"> </w:t>
      </w:r>
      <w:r>
        <w:t xml:space="preserve">“</w:t>
      </w:r>
      <w:r>
        <w:t xml:space="preserve">As appropriate and practical.</w:t>
      </w:r>
      <w:r>
        <w:t xml:space="preserve">”</w:t>
      </w:r>
    </w:p>
    <w:p>
      <w:pPr>
        <w:pStyle w:val="Heading4"/>
      </w:pPr>
      <w:bookmarkStart w:id="85" w:name="nist-ai-rmf-manage-function"/>
      <w:r>
        <w:t xml:space="preserve">NIST AI RMF Manage Function</w:t>
      </w:r>
      <w:bookmarkEnd w:id="85"/>
    </w:p>
    <w:p>
      <w:pPr>
        <w:pStyle w:val="FirstParagraph"/>
      </w:pPr>
      <w:r>
        <w:t xml:space="preserve">“</w:t>
      </w:r>
      <w:r>
        <w:t xml:space="preserve">Taking actions to address, mitigate, and manage identified artificial intelligence risks</w:t>
      </w:r>
      <w:r>
        <w:t xml:space="preserve">”</w:t>
      </w:r>
      <w:r>
        <w:t xml:space="preserve"> </w:t>
      </w:r>
      <w:r>
        <w:t xml:space="preserve">including:</w:t>
      </w:r>
      <w:r>
        <w:t xml:space="preserve"> </w:t>
      </w:r>
      <w:r>
        <w:t xml:space="preserve">- Mitigation of identified risks</w:t>
      </w:r>
      <w:r>
        <w:t xml:space="preserve"> </w:t>
      </w:r>
      <w:r>
        <w:t xml:space="preserve">- Ongoing monitoring</w:t>
      </w:r>
      <w:r>
        <w:t xml:space="preserve"> </w:t>
      </w:r>
      <w:r>
        <w:t xml:space="preserve">- Update and adaptation mechanisms</w:t>
      </w:r>
      <w:r>
        <w:t xml:space="preserve"> </w:t>
      </w:r>
      <w:r>
        <w:t xml:space="preserve">- Documentation of risk management decisions</w:t>
      </w:r>
    </w:p>
    <w:p>
      <w:pPr>
        <w:pStyle w:val="BodyText"/>
      </w:pPr>
      <w:r>
        <w:t xml:space="preserve">Explainability: Addressed through risk documentation and transparency in risk management.</w:t>
      </w:r>
    </w:p>
    <w:p>
      <w:pPr>
        <w:pStyle w:val="Heading4"/>
      </w:pPr>
      <w:bookmarkStart w:id="86" w:name="trump-ai-act"/>
      <w:r>
        <w:t xml:space="preserve">TRUMP AI Act</w:t>
      </w:r>
      <w:bookmarkEnd w:id="86"/>
    </w:p>
    <w:p>
      <w:pPr>
        <w:pStyle w:val="FirstParagraph"/>
      </w:pPr>
      <w:r>
        <w:rPr>
          <w:b/>
        </w:rPr>
        <w:t xml:space="preserve">Explicit Explainability Requirement (Section 942 - Grand Challenges):</w:t>
      </w:r>
      <w:r>
        <w:t xml:space="preserve"> </w:t>
      </w:r>
      <w:r>
        <w:t xml:space="preserve">“</w:t>
      </w:r>
      <w:r>
        <w:t xml:space="preserve">Federal prizes for artificial intelligence development in priority areas, including… transparency and explainability mechanisms…</w:t>
      </w:r>
      <w:r>
        <w:t xml:space="preserve">”</w:t>
      </w:r>
    </w:p>
    <w:p>
      <w:pPr>
        <w:pStyle w:val="BodyText"/>
      </w:pPr>
      <w:r>
        <w:t xml:space="preserve">Incentivizes (but does not mandate) explainability development through competition framework.</w:t>
      </w:r>
    </w:p>
    <w:p>
      <w:pPr>
        <w:pStyle w:val="BodyText"/>
      </w:pPr>
      <w:r>
        <w:rPr>
          <w:b/>
        </w:rPr>
        <w:t xml:space="preserve">Implicit via Liability (Sections 711-712):</w:t>
      </w:r>
      <w:r>
        <w:t xml:space="preserve"> </w:t>
      </w:r>
      <w:r>
        <w:t xml:space="preserve">Developer liability for</w:t>
      </w:r>
      <w:r>
        <w:t xml:space="preserve"> </w:t>
      </w:r>
      <w:r>
        <w:t xml:space="preserve">“</w:t>
      </w:r>
      <w:r>
        <w:t xml:space="preserve">failure to provide adequate instructions, warnings, or labeling regarding the risks, limitations, and appropriate use</w:t>
      </w:r>
      <w:r>
        <w:t xml:space="preserve">”</w:t>
      </w:r>
      <w:r>
        <w:t xml:space="preserve"> </w:t>
      </w:r>
      <w:r>
        <w:t xml:space="preserve">creates incentive for transparency/explainability.</w:t>
      </w:r>
    </w:p>
    <w:p>
      <w:pPr>
        <w:pStyle w:val="BodyText"/>
      </w:pPr>
      <w:r>
        <w:rPr>
          <w:b/>
        </w:rPr>
        <w:t xml:space="preserve">Title XVI Agency Use (Section 1601(c)):</w:t>
      </w:r>
      <w:r>
        <w:t xml:space="preserve"> </w:t>
      </w:r>
      <w:r>
        <w:t xml:space="preserve">OMB guidance requires federal procured LLMs to be</w:t>
      </w:r>
      <w:r>
        <w:t xml:space="preserve"> </w:t>
      </w:r>
      <w:r>
        <w:t xml:space="preserve">“</w:t>
      </w:r>
      <w:r>
        <w:t xml:space="preserve">transparent about ideological judgments through disclosure of the system prompt, specifications, evaluations, or other relevant documentation.</w:t>
      </w:r>
      <w:r>
        <w:t xml:space="preserve">”</w:t>
      </w:r>
    </w:p>
    <w:p>
      <w:pPr>
        <w:pStyle w:val="Heading4"/>
      </w:pPr>
      <w:bookmarkStart w:id="87" w:name="Xdcf70c82f006b2f293b2c1d32127f0ca865a8a9"/>
      <w:r>
        <w:t xml:space="preserve">Interoperability Mapping 4: Transparency and Explainability</w:t>
      </w:r>
      <w:bookmarkEnd w:id="8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Transparency Aspect</w:t>
            </w:r>
          </w:p>
        </w:tc>
        <w:tc>
          <w:tcPr>
            <w:tcBorders>
              <w:bottom w:val="single"/>
            </w:tcBorders>
            <w:vAlign w:val="bottom"/>
          </w:tcPr>
          <w:p>
            <w:pPr>
              <w:pStyle w:val="Compact"/>
              <w:jc w:val="left"/>
            </w:pPr>
            <w:r>
              <w:t xml:space="preserve">EU AI Act Art. 13</w:t>
            </w:r>
          </w:p>
        </w:tc>
        <w:tc>
          <w:tcPr>
            <w:tcBorders>
              <w:bottom w:val="single"/>
            </w:tcBorders>
            <w:vAlign w:val="bottom"/>
          </w:tcPr>
          <w:p>
            <w:pPr>
              <w:pStyle w:val="Compact"/>
              <w:jc w:val="left"/>
            </w:pPr>
            <w:r>
              <w:t xml:space="preserve">NIST Manage</w:t>
            </w:r>
          </w:p>
        </w:tc>
        <w:tc>
          <w:tcPr>
            <w:tcBorders>
              <w:bottom w:val="single"/>
            </w:tcBorders>
            <w:vAlign w:val="bottom"/>
          </w:tcPr>
          <w:p>
            <w:pPr>
              <w:pStyle w:val="Compact"/>
              <w:jc w:val="left"/>
            </w:pPr>
            <w:r>
              <w:t xml:space="preserve">TRUMP Act</w:t>
            </w:r>
          </w:p>
        </w:tc>
      </w:tr>
      <w:tr>
        <w:tc>
          <w:p>
            <w:pPr>
              <w:pStyle w:val="Compact"/>
              <w:jc w:val="left"/>
            </w:pPr>
            <w:r>
              <w:rPr>
                <w:b/>
              </w:rPr>
              <w:t xml:space="preserve">Mandatory Explainability</w:t>
            </w:r>
          </w:p>
        </w:tc>
        <w:tc>
          <w:p>
            <w:pPr>
              <w:pStyle w:val="Compact"/>
              <w:jc w:val="left"/>
            </w:pPr>
            <w:r>
              <w:t xml:space="preserve">For high-risk decisions</w:t>
            </w:r>
          </w:p>
        </w:tc>
        <w:tc>
          <w:p>
            <w:pPr>
              <w:pStyle w:val="Compact"/>
              <w:jc w:val="left"/>
            </w:pPr>
            <w:r>
              <w:t xml:space="preserve">Not mandated</w:t>
            </w:r>
          </w:p>
        </w:tc>
        <w:tc>
          <w:p>
            <w:pPr>
              <w:pStyle w:val="Compact"/>
              <w:jc w:val="left"/>
            </w:pPr>
            <w:r>
              <w:rPr>
                <w:b/>
              </w:rPr>
              <w:t xml:space="preserve">Not mandated (incentivized)</w:t>
            </w:r>
          </w:p>
        </w:tc>
      </w:tr>
      <w:tr>
        <w:tc>
          <w:p>
            <w:pPr>
              <w:pStyle w:val="Compact"/>
              <w:jc w:val="left"/>
            </w:pPr>
            <w:r>
              <w:rPr>
                <w:b/>
              </w:rPr>
              <w:t xml:space="preserve">Disclosure Standard</w:t>
            </w:r>
          </w:p>
        </w:tc>
        <w:tc>
          <w:p>
            <w:pPr>
              <w:pStyle w:val="Compact"/>
              <w:jc w:val="left"/>
            </w:pPr>
            <w:r>
              <w:t xml:space="preserve">“</w:t>
            </w:r>
            <w:r>
              <w:t xml:space="preserve">As appropriate and practical</w:t>
            </w:r>
            <w:r>
              <w:t xml:space="preserve">”</w:t>
            </w:r>
          </w:p>
        </w:tc>
        <w:tc>
          <w:p>
            <w:pPr>
              <w:pStyle w:val="Compact"/>
              <w:jc w:val="left"/>
            </w:pPr>
            <w:r>
              <w:t xml:space="preserve">Not specified</w:t>
            </w:r>
          </w:p>
        </w:tc>
        <w:tc>
          <w:p>
            <w:pPr>
              <w:pStyle w:val="Compact"/>
              <w:jc w:val="left"/>
            </w:pPr>
            <w:r>
              <w:t xml:space="preserve">“</w:t>
            </w:r>
            <w:r>
              <w:t xml:space="preserve">Reasonable</w:t>
            </w:r>
            <w:r>
              <w:t xml:space="preserve">”</w:t>
            </w:r>
            <w:r>
              <w:t xml:space="preserve"> </w:t>
            </w:r>
            <w:r>
              <w:t xml:space="preserve">disclosure (liability standard)</w:t>
            </w:r>
          </w:p>
        </w:tc>
      </w:tr>
      <w:tr>
        <w:tc>
          <w:p>
            <w:pPr>
              <w:pStyle w:val="Compact"/>
              <w:jc w:val="left"/>
            </w:pPr>
            <w:r>
              <w:rPr>
                <w:b/>
              </w:rPr>
              <w:t xml:space="preserve">Scope</w:t>
            </w:r>
          </w:p>
        </w:tc>
        <w:tc>
          <w:p>
            <w:pPr>
              <w:pStyle w:val="Compact"/>
              <w:jc w:val="left"/>
            </w:pPr>
            <w:r>
              <w:t xml:space="preserve">Deployer and user transparency</w:t>
            </w:r>
          </w:p>
        </w:tc>
        <w:tc>
          <w:p>
            <w:pPr>
              <w:pStyle w:val="Compact"/>
              <w:jc w:val="left"/>
            </w:pPr>
            <w:r>
              <w:t xml:space="preserve">Internal risk management</w:t>
            </w:r>
          </w:p>
        </w:tc>
        <w:tc>
          <w:p>
            <w:pPr>
              <w:pStyle w:val="Compact"/>
              <w:jc w:val="left"/>
            </w:pPr>
            <w:r>
              <w:t xml:space="preserve">Developers and federal agencies</w:t>
            </w:r>
          </w:p>
        </w:tc>
      </w:tr>
      <w:tr>
        <w:tc>
          <w:p>
            <w:pPr>
              <w:pStyle w:val="Compact"/>
              <w:jc w:val="left"/>
            </w:pPr>
            <w:r>
              <w:rPr>
                <w:b/>
              </w:rPr>
              <w:t xml:space="preserve">Enforcement</w:t>
            </w:r>
          </w:p>
        </w:tc>
        <w:tc>
          <w:p>
            <w:pPr>
              <w:pStyle w:val="Compact"/>
              <w:jc w:val="left"/>
            </w:pPr>
            <w:r>
              <w:t xml:space="preserve">Competent authority supervision</w:t>
            </w:r>
          </w:p>
        </w:tc>
        <w:tc>
          <w:p>
            <w:pPr>
              <w:pStyle w:val="Compact"/>
              <w:jc w:val="left"/>
            </w:pPr>
            <w:r>
              <w:t xml:space="preserve">Organization-specific</w:t>
            </w:r>
          </w:p>
        </w:tc>
        <w:tc>
          <w:p>
            <w:pPr>
              <w:pStyle w:val="Compact"/>
              <w:jc w:val="left"/>
            </w:pPr>
            <w:r>
              <w:t xml:space="preserve">Liability + OMB guidance</w:t>
            </w:r>
          </w:p>
        </w:tc>
      </w:tr>
      <w:tr>
        <w:tc>
          <w:p>
            <w:pPr>
              <w:pStyle w:val="Compact"/>
              <w:jc w:val="left"/>
            </w:pPr>
            <w:r>
              <w:rPr>
                <w:b/>
              </w:rPr>
              <w:t xml:space="preserve">Documentation Level</w:t>
            </w:r>
          </w:p>
        </w:tc>
        <w:tc>
          <w:p>
            <w:pPr>
              <w:pStyle w:val="Compact"/>
              <w:jc w:val="left"/>
            </w:pPr>
            <w:r>
              <w:t xml:space="preserve">System functionality</w:t>
            </w:r>
          </w:p>
        </w:tc>
        <w:tc>
          <w:p>
            <w:pPr>
              <w:pStyle w:val="Compact"/>
              <w:jc w:val="left"/>
            </w:pPr>
            <w:r>
              <w:t xml:space="preserve">Risk documentation</w:t>
            </w:r>
          </w:p>
        </w:tc>
        <w:tc>
          <w:p>
            <w:pPr>
              <w:pStyle w:val="Compact"/>
              <w:jc w:val="left"/>
            </w:pPr>
            <w:r>
              <w:t xml:space="preserve">System prompt, specifications, evaluations</w:t>
            </w:r>
          </w:p>
        </w:tc>
      </w:tr>
      <w:tr>
        <w:tc>
          <w:p>
            <w:pPr>
              <w:pStyle w:val="Compact"/>
              <w:jc w:val="left"/>
            </w:pPr>
            <w:r>
              <w:rPr>
                <w:b/>
              </w:rPr>
              <w:t xml:space="preserve">Specificity</w:t>
            </w:r>
          </w:p>
        </w:tc>
        <w:tc>
          <w:p>
            <w:pPr>
              <w:pStyle w:val="Compact"/>
              <w:jc w:val="left"/>
            </w:pPr>
            <w:r>
              <w:t xml:space="preserve">General principle</w:t>
            </w:r>
          </w:p>
        </w:tc>
        <w:tc>
          <w:p>
            <w:pPr>
              <w:pStyle w:val="Compact"/>
              <w:jc w:val="left"/>
            </w:pPr>
            <w:r>
              <w:t xml:space="preserve">Function-based</w:t>
            </w:r>
          </w:p>
        </w:tc>
        <w:tc>
          <w:p>
            <w:pPr>
              <w:pStyle w:val="Compact"/>
              <w:jc w:val="left"/>
            </w:pPr>
            <w:r>
              <w:rPr>
                <w:b/>
              </w:rPr>
              <w:t xml:space="preserve">Detailed for federal procurements</w:t>
            </w:r>
          </w:p>
        </w:tc>
      </w:tr>
    </w:tbl>
    <w:p>
      <w:pPr>
        <w:pStyle w:val="BodyText"/>
      </w:pPr>
      <w:r>
        <w:rPr>
          <w:b/>
        </w:rPr>
        <w:t xml:space="preserve">Thesis Finding:</w:t>
      </w:r>
      <w:r>
        <w:t xml:space="preserve"> </w:t>
      </w:r>
      <w:r>
        <w:t xml:space="preserve">TRUMP does not mandate explainability requirement equivalent to EU Article 13, relying instead on liability incentives and federal procurement guidance. This creates</w:t>
      </w:r>
      <w:r>
        <w:t xml:space="preserve"> </w:t>
      </w:r>
      <w:r>
        <w:rPr>
          <w:b/>
        </w:rPr>
        <w:t xml:space="preserve">transparency gap</w:t>
      </w:r>
      <w:r>
        <w:t xml:space="preserve"> </w:t>
      </w:r>
      <w:r>
        <w:t xml:space="preserve">between EU and TRUMP regimes for non-federal deployed systems.</w:t>
      </w:r>
    </w:p>
    <w:p>
      <w:r>
        <w:pict>
          <v:rect style="width:0;height:1.5pt" o:hralign="center" o:hrstd="t" o:hr="t"/>
        </w:pict>
      </w:r>
    </w:p>
    <w:p>
      <w:pPr>
        <w:pStyle w:val="Heading3"/>
      </w:pPr>
      <w:bookmarkStart w:id="88" w:name="liability-and-accountability-frameworks"/>
      <w:r>
        <w:t xml:space="preserve">4.5 Liability and Accountability Frameworks</w:t>
      </w:r>
      <w:bookmarkEnd w:id="88"/>
    </w:p>
    <w:p>
      <w:pPr>
        <w:pStyle w:val="Heading4"/>
      </w:pPr>
      <w:bookmarkStart w:id="89" w:name="eu-ai-act-product-liability-amendments"/>
      <w:r>
        <w:t xml:space="preserve">EU AI Act Product Liability Amendments</w:t>
      </w:r>
      <w:bookmarkEnd w:id="89"/>
    </w:p>
    <w:p>
      <w:pPr>
        <w:pStyle w:val="FirstParagraph"/>
      </w:pPr>
      <w:r>
        <w:t xml:space="preserve">Rebuttable presumption of defect if:</w:t>
      </w:r>
      <w:r>
        <w:t xml:space="preserve"> </w:t>
      </w:r>
      <w:r>
        <w:t xml:space="preserve">- AI system does not comply with AI Act requirements</w:t>
      </w:r>
      <w:r>
        <w:t xml:space="preserve"> </w:t>
      </w:r>
      <w:r>
        <w:t xml:space="preserve">- Burden shifts to provider to prove no defect exists</w:t>
      </w:r>
      <w:r>
        <w:t xml:space="preserve"> </w:t>
      </w:r>
      <w:r>
        <w:t xml:space="preserve">- Applies to high-risk AI systems</w:t>
      </w:r>
    </w:p>
    <w:p>
      <w:pPr>
        <w:pStyle w:val="BodyText"/>
      </w:pPr>
      <w:r>
        <w:t xml:space="preserve">Strict liability standard: No need to prove negligence, only non-compliance.</w:t>
      </w:r>
    </w:p>
    <w:p>
      <w:pPr>
        <w:pStyle w:val="Heading4"/>
      </w:pPr>
      <w:bookmarkStart w:id="90" w:name="nist-ai-rmf-manage-function-1"/>
      <w:r>
        <w:t xml:space="preserve">NIST AI RMF Manage Function</w:t>
      </w:r>
      <w:bookmarkEnd w:id="90"/>
    </w:p>
    <w:p>
      <w:pPr>
        <w:pStyle w:val="FirstParagraph"/>
      </w:pPr>
      <w:r>
        <w:t xml:space="preserve">Emphasis on:</w:t>
      </w:r>
      <w:r>
        <w:t xml:space="preserve"> </w:t>
      </w:r>
      <w:r>
        <w:t xml:space="preserve">- Risk mitigation documentation</w:t>
      </w:r>
      <w:r>
        <w:t xml:space="preserve"> </w:t>
      </w:r>
      <w:r>
        <w:t xml:space="preserve">- Accountability mechanisms</w:t>
      </w:r>
      <w:r>
        <w:t xml:space="preserve"> </w:t>
      </w:r>
      <w:r>
        <w:t xml:space="preserve">- Ongoing monitoring and adjustment</w:t>
      </w:r>
      <w:r>
        <w:t xml:space="preserve"> </w:t>
      </w:r>
      <w:r>
        <w:t xml:space="preserve">- Incident response procedures</w:t>
      </w:r>
    </w:p>
    <w:p>
      <w:pPr>
        <w:pStyle w:val="BodyText"/>
      </w:pPr>
      <w:r>
        <w:rPr>
          <w:b/>
        </w:rPr>
        <w:t xml:space="preserve">No liability standard:</w:t>
      </w:r>
      <w:r>
        <w:t xml:space="preserve"> </w:t>
      </w:r>
      <w:r>
        <w:t xml:space="preserve">NIST provides functions; enforcement via legal/contractual frameworks outside NIST scope.</w:t>
      </w:r>
    </w:p>
    <w:p>
      <w:pPr>
        <w:pStyle w:val="Heading4"/>
      </w:pPr>
      <w:bookmarkStart w:id="91" w:name="trump-ai-act-sections-711-712"/>
      <w:r>
        <w:t xml:space="preserve">TRUMP AI Act Sections 711-712</w:t>
      </w:r>
      <w:bookmarkEnd w:id="91"/>
    </w:p>
    <w:p>
      <w:pPr>
        <w:pStyle w:val="FirstParagraph"/>
      </w:pPr>
      <w:r>
        <w:rPr>
          <w:b/>
        </w:rPr>
        <w:t xml:space="preserve">Developer Liability:</w:t>
      </w:r>
      <w:r>
        <w:t xml:space="preserve"> </w:t>
      </w:r>
      <w:r>
        <w:t xml:space="preserve">- Negligence standard for reasonable care in design</w:t>
      </w:r>
      <w:r>
        <w:t xml:space="preserve"> </w:t>
      </w:r>
      <w:r>
        <w:t xml:space="preserve">- Strict liability for unreasonably dangerous/defective products</w:t>
      </w:r>
      <w:r>
        <w:t xml:space="preserve"> </w:t>
      </w:r>
      <w:r>
        <w:t xml:space="preserve">- Presumption of defect if non-compliance with applicable safety statutes</w:t>
      </w:r>
      <w:r>
        <w:t xml:space="preserve"> </w:t>
      </w:r>
      <w:r>
        <w:t xml:space="preserve">- Plaintiff must establish reasonable alternative design</w:t>
      </w:r>
      <w:r>
        <w:t xml:space="preserve"> </w:t>
      </w:r>
      <w:r>
        <w:t xml:space="preserve">- Knowledge requirement: at time product left developer control</w:t>
      </w:r>
    </w:p>
    <w:p>
      <w:pPr>
        <w:pStyle w:val="BodyText"/>
      </w:pPr>
      <w:r>
        <w:rPr>
          <w:b/>
        </w:rPr>
        <w:t xml:space="preserve">Deployer Liability (Sec. 712):</w:t>
      </w:r>
      <w:r>
        <w:t xml:space="preserve"> </w:t>
      </w:r>
      <w:r>
        <w:t xml:space="preserve">- Negligence standard for failure to exercise reasonable care in deployment/operation/monitoring</w:t>
      </w:r>
      <w:r>
        <w:t xml:space="preserve"> </w:t>
      </w:r>
      <w:r>
        <w:t xml:space="preserve">- Failure to provide warnings regarding known risks</w:t>
      </w:r>
      <w:r>
        <w:t xml:space="preserve"> </w:t>
      </w:r>
      <w:r>
        <w:t xml:space="preserve">- Failure to maintain governance and audit systems</w:t>
      </w:r>
    </w:p>
    <w:p>
      <w:pPr>
        <w:pStyle w:val="Heading4"/>
      </w:pPr>
      <w:bookmarkStart w:id="92" w:name="X70321d70b784a9a95614cca56447763b71d146b"/>
      <w:r>
        <w:t xml:space="preserve">Interoperability Mapping 5: Liability Architecture</w:t>
      </w:r>
      <w:bookmarkEnd w:id="9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Liability Element</w:t>
            </w:r>
          </w:p>
        </w:tc>
        <w:tc>
          <w:tcPr>
            <w:tcBorders>
              <w:bottom w:val="single"/>
            </w:tcBorders>
            <w:vAlign w:val="bottom"/>
          </w:tcPr>
          <w:p>
            <w:pPr>
              <w:pStyle w:val="Compact"/>
              <w:jc w:val="left"/>
            </w:pPr>
            <w:r>
              <w:t xml:space="preserve">EU Product Liability Directive + AI Act</w:t>
            </w:r>
          </w:p>
        </w:tc>
        <w:tc>
          <w:tcPr>
            <w:tcBorders>
              <w:bottom w:val="single"/>
            </w:tcBorders>
            <w:vAlign w:val="bottom"/>
          </w:tcPr>
          <w:p>
            <w:pPr>
              <w:pStyle w:val="Compact"/>
              <w:jc w:val="left"/>
            </w:pPr>
            <w:r>
              <w:t xml:space="preserve">NIST AI RMF</w:t>
            </w:r>
          </w:p>
        </w:tc>
        <w:tc>
          <w:tcPr>
            <w:tcBorders>
              <w:bottom w:val="single"/>
            </w:tcBorders>
            <w:vAlign w:val="bottom"/>
          </w:tcPr>
          <w:p>
            <w:pPr>
              <w:pStyle w:val="Compact"/>
              <w:jc w:val="left"/>
            </w:pPr>
            <w:r>
              <w:t xml:space="preserve">TRUMP Sections 711-712</w:t>
            </w:r>
          </w:p>
        </w:tc>
      </w:tr>
      <w:tr>
        <w:tc>
          <w:p>
            <w:pPr>
              <w:pStyle w:val="Compact"/>
              <w:jc w:val="left"/>
            </w:pPr>
            <w:r>
              <w:rPr>
                <w:b/>
              </w:rPr>
              <w:t xml:space="preserve">Liability Standard</w:t>
            </w:r>
          </w:p>
        </w:tc>
        <w:tc>
          <w:p>
            <w:pPr>
              <w:pStyle w:val="Compact"/>
              <w:jc w:val="left"/>
            </w:pPr>
            <w:r>
              <w:rPr>
                <w:b/>
              </w:rPr>
              <w:t xml:space="preserve">Strict liability</w:t>
            </w:r>
            <w:r>
              <w:t xml:space="preserve"> </w:t>
            </w:r>
            <w:r>
              <w:t xml:space="preserve">(presumption of defect)</w:t>
            </w:r>
          </w:p>
        </w:tc>
        <w:tc>
          <w:p>
            <w:pPr>
              <w:pStyle w:val="Compact"/>
              <w:jc w:val="left"/>
            </w:pPr>
            <w:r>
              <w:t xml:space="preserve">Risk management guidance (no liability)</w:t>
            </w:r>
          </w:p>
        </w:tc>
        <w:tc>
          <w:p>
            <w:pPr>
              <w:pStyle w:val="Compact"/>
              <w:jc w:val="left"/>
            </w:pPr>
            <w:r>
              <w:rPr>
                <w:b/>
              </w:rPr>
              <w:t xml:space="preserve">Negligence + Strict liability (hybrid)</w:t>
            </w:r>
          </w:p>
        </w:tc>
      </w:tr>
      <w:tr>
        <w:tc>
          <w:p>
            <w:pPr>
              <w:pStyle w:val="Compact"/>
              <w:jc w:val="left"/>
            </w:pPr>
            <w:r>
              <w:rPr>
                <w:b/>
              </w:rPr>
              <w:t xml:space="preserve">Burden of Proof</w:t>
            </w:r>
          </w:p>
        </w:tc>
        <w:tc>
          <w:p>
            <w:pPr>
              <w:pStyle w:val="Compact"/>
              <w:jc w:val="left"/>
            </w:pPr>
            <w:r>
              <w:t xml:space="preserve">Provider must rebut presumption</w:t>
            </w:r>
          </w:p>
        </w:tc>
        <w:tc>
          <w:p>
            <w:pPr>
              <w:pStyle w:val="Compact"/>
              <w:jc w:val="left"/>
            </w:pPr>
            <w:r>
              <w:t xml:space="preserve">Organization documents risk management</w:t>
            </w:r>
          </w:p>
        </w:tc>
        <w:tc>
          <w:p>
            <w:pPr>
              <w:pStyle w:val="Compact"/>
              <w:jc w:val="left"/>
            </w:pPr>
            <w:r>
              <w:t xml:space="preserve">Plaintiff establishes breach + damages</w:t>
            </w:r>
          </w:p>
        </w:tc>
      </w:tr>
      <w:tr>
        <w:tc>
          <w:p>
            <w:pPr>
              <w:pStyle w:val="Compact"/>
              <w:jc w:val="left"/>
            </w:pPr>
            <w:r>
              <w:rPr>
                <w:b/>
              </w:rPr>
              <w:t xml:space="preserve">Defect Definition</w:t>
            </w:r>
          </w:p>
        </w:tc>
        <w:tc>
          <w:p>
            <w:pPr>
              <w:pStyle w:val="Compact"/>
              <w:jc w:val="left"/>
            </w:pPr>
            <w:r>
              <w:t xml:space="preserve">AI Act non-compliance</w:t>
            </w:r>
          </w:p>
        </w:tc>
        <w:tc>
          <w:p>
            <w:pPr>
              <w:pStyle w:val="Compact"/>
              <w:jc w:val="left"/>
            </w:pPr>
            <w:r>
              <w:t xml:space="preserve">Risk assessment (organizational)</w:t>
            </w:r>
          </w:p>
        </w:tc>
        <w:tc>
          <w:p>
            <w:pPr>
              <w:pStyle w:val="Compact"/>
              <w:jc w:val="left"/>
            </w:pPr>
            <w:r>
              <w:t xml:space="preserve">“</w:t>
            </w:r>
            <w:r>
              <w:t xml:space="preserve">Unreasonably dangerous</w:t>
            </w:r>
            <w:r>
              <w:t xml:space="preserve">”</w:t>
            </w:r>
            <w:r>
              <w:t xml:space="preserve"> </w:t>
            </w:r>
            <w:r>
              <w:t xml:space="preserve">+ reasonable alternative design</w:t>
            </w:r>
          </w:p>
        </w:tc>
      </w:tr>
      <w:tr>
        <w:tc>
          <w:p>
            <w:pPr>
              <w:pStyle w:val="Compact"/>
              <w:jc w:val="left"/>
            </w:pPr>
            <w:r>
              <w:rPr>
                <w:b/>
              </w:rPr>
              <w:t xml:space="preserve">Exemption</w:t>
            </w:r>
          </w:p>
        </w:tc>
        <w:tc>
          <w:p>
            <w:pPr>
              <w:pStyle w:val="Compact"/>
              <w:jc w:val="left"/>
            </w:pPr>
            <w:r>
              <w:t xml:space="preserve">Compliance with AI Act</w:t>
            </w:r>
          </w:p>
        </w:tc>
        <w:tc>
          <w:p>
            <w:pPr>
              <w:pStyle w:val="Compact"/>
              <w:jc w:val="left"/>
            </w:pPr>
            <w:r>
              <w:t xml:space="preserve">Effective risk management</w:t>
            </w:r>
          </w:p>
        </w:tc>
        <w:tc>
          <w:p>
            <w:pPr>
              <w:pStyle w:val="Compact"/>
              <w:jc w:val="left"/>
            </w:pPr>
            <w:r>
              <w:t xml:space="preserve">Substantial modification by user</w:t>
            </w:r>
          </w:p>
        </w:tc>
      </w:tr>
      <w:tr>
        <w:tc>
          <w:p>
            <w:pPr>
              <w:pStyle w:val="Compact"/>
              <w:jc w:val="left"/>
            </w:pPr>
            <w:r>
              <w:rPr>
                <w:b/>
              </w:rPr>
              <w:t xml:space="preserve">Post-Market Monitoring</w:t>
            </w:r>
          </w:p>
        </w:tc>
        <w:tc>
          <w:p>
            <w:pPr>
              <w:pStyle w:val="Compact"/>
              <w:jc w:val="left"/>
            </w:pPr>
            <w:r>
              <w:t xml:space="preserve">Required under Art. 10</w:t>
            </w:r>
          </w:p>
        </w:tc>
        <w:tc>
          <w:p>
            <w:pPr>
              <w:pStyle w:val="Compact"/>
              <w:jc w:val="left"/>
            </w:pPr>
            <w:r>
              <w:t xml:space="preserve">Required under Manage function</w:t>
            </w:r>
          </w:p>
        </w:tc>
        <w:tc>
          <w:p>
            <w:pPr>
              <w:pStyle w:val="Compact"/>
              <w:jc w:val="left"/>
            </w:pPr>
            <w:r>
              <w:t xml:space="preserve">Implicit via deployer liability (Sec. 712)</w:t>
            </w:r>
          </w:p>
        </w:tc>
      </w:tr>
      <w:tr>
        <w:tc>
          <w:p>
            <w:pPr>
              <w:pStyle w:val="Compact"/>
              <w:jc w:val="left"/>
            </w:pPr>
            <w:r>
              <w:rPr>
                <w:b/>
              </w:rPr>
              <w:t xml:space="preserve">Enforcement Entity</w:t>
            </w:r>
          </w:p>
        </w:tc>
        <w:tc>
          <w:p>
            <w:pPr>
              <w:pStyle w:val="Compact"/>
              <w:jc w:val="left"/>
            </w:pPr>
            <w:r>
              <w:t xml:space="preserve">Competent authorities + private parties</w:t>
            </w:r>
          </w:p>
        </w:tc>
        <w:tc>
          <w:p>
            <w:pPr>
              <w:pStyle w:val="Compact"/>
              <w:jc w:val="left"/>
            </w:pPr>
            <w:r>
              <w:t xml:space="preserve">Organization-driven</w:t>
            </w:r>
          </w:p>
        </w:tc>
        <w:tc>
          <w:p>
            <w:pPr>
              <w:pStyle w:val="Compact"/>
              <w:jc w:val="left"/>
            </w:pPr>
            <w:r>
              <w:t xml:space="preserve">Private parties + government enforcement</w:t>
            </w:r>
          </w:p>
        </w:tc>
      </w:tr>
    </w:tbl>
    <w:p>
      <w:pPr>
        <w:pStyle w:val="BodyText"/>
      </w:pPr>
      <w:r>
        <w:rPr>
          <w:b/>
        </w:rPr>
        <w:t xml:space="preserve">Critical Interoperability Issue:</w:t>
      </w:r>
      <w:r>
        <w:t xml:space="preserve"> </w:t>
      </w:r>
      <w:r>
        <w:t xml:space="preserve">EU and TRUMP differ fundamentally on burden of proof:</w:t>
      </w:r>
      <w:r>
        <w:t xml:space="preserve"> </w:t>
      </w:r>
      <w:r>
        <w:t xml:space="preserve">-</w:t>
      </w:r>
      <w:r>
        <w:t xml:space="preserve"> </w:t>
      </w:r>
      <w:r>
        <w:rPr>
          <w:b/>
        </w:rPr>
        <w:t xml:space="preserve">EU:</w:t>
      </w:r>
      <w:r>
        <w:t xml:space="preserve"> </w:t>
      </w:r>
      <w:r>
        <w:t xml:space="preserve">Provider presumed liable; must prove compliance</w:t>
      </w:r>
      <w:r>
        <w:t xml:space="preserve"> </w:t>
      </w:r>
      <w:r>
        <w:t xml:space="preserve">-</w:t>
      </w:r>
      <w:r>
        <w:t xml:space="preserve"> </w:t>
      </w:r>
      <w:r>
        <w:rPr>
          <w:b/>
        </w:rPr>
        <w:t xml:space="preserve">TRUMP:</w:t>
      </w:r>
      <w:r>
        <w:t xml:space="preserve"> </w:t>
      </w:r>
      <w:r>
        <w:t xml:space="preserve">Plaintiff must prove breach; defendant presumed innocent unless proven negligent</w:t>
      </w:r>
    </w:p>
    <w:p>
      <w:pPr>
        <w:pStyle w:val="BodyText"/>
      </w:pPr>
      <w:r>
        <w:rPr>
          <w:b/>
        </w:rPr>
        <w:t xml:space="preserve">Thesis Finding:</w:t>
      </w:r>
      <w:r>
        <w:t xml:space="preserve"> </w:t>
      </w:r>
      <w:r>
        <w:t xml:space="preserve">Different burden-of-proof structures create</w:t>
      </w:r>
      <w:r>
        <w:t xml:space="preserve"> </w:t>
      </w:r>
      <w:r>
        <w:rPr>
          <w:b/>
        </w:rPr>
        <w:t xml:space="preserve">asymmetric liability regimes</w:t>
      </w:r>
      <w:r>
        <w:t xml:space="preserve"> </w:t>
      </w:r>
      <w:r>
        <w:t xml:space="preserve">for transatlantic AI deployment. Companies must navigate strict liability (EU) and negligence-based liability (TRUMP) simultaneously, with different evidentiary burdens.</w:t>
      </w:r>
    </w:p>
    <w:p>
      <w:r>
        <w:pict>
          <v:rect style="width:0;height:1.5pt" o:hralign="center" o:hrstd="t" o:hr="t"/>
        </w:pict>
      </w:r>
    </w:p>
    <w:p>
      <w:pPr>
        <w:pStyle w:val="Heading3"/>
      </w:pPr>
      <w:bookmarkStart w:id="93" w:name="copyright-and-training-data-transparency"/>
      <w:r>
        <w:t xml:space="preserve">4.6 Copyright and Training Data Transparency</w:t>
      </w:r>
      <w:bookmarkEnd w:id="93"/>
    </w:p>
    <w:p>
      <w:pPr>
        <w:pStyle w:val="Heading4"/>
      </w:pPr>
      <w:bookmarkStart w:id="94" w:name="Xe5ac2736dbe224e6048e7905f8946d76131e733"/>
      <w:r>
        <w:t xml:space="preserve">EU AI Act Articles 6(3), 15 (Training Data Transparency)</w:t>
      </w:r>
      <w:bookmarkEnd w:id="94"/>
    </w:p>
    <w:p>
      <w:pPr>
        <w:pStyle w:val="FirstParagraph"/>
      </w:pPr>
      <w:r>
        <w:t xml:space="preserve">High-risk AI systems must document:</w:t>
      </w:r>
      <w:r>
        <w:t xml:space="preserve"> </w:t>
      </w:r>
      <w:r>
        <w:t xml:space="preserve">- Training data used</w:t>
      </w:r>
      <w:r>
        <w:t xml:space="preserve"> </w:t>
      </w:r>
      <w:r>
        <w:t xml:space="preserve">- Quality measures for training data</w:t>
      </w:r>
      <w:r>
        <w:t xml:space="preserve"> </w:t>
      </w:r>
      <w:r>
        <w:t xml:space="preserve">- Bias mitigation procedures</w:t>
      </w:r>
    </w:p>
    <w:p>
      <w:pPr>
        <w:pStyle w:val="BodyText"/>
      </w:pPr>
      <w:r>
        <w:rPr>
          <w:b/>
        </w:rPr>
        <w:t xml:space="preserve">No prohibition on training data use:</w:t>
      </w:r>
      <w:r>
        <w:t xml:space="preserve"> </w:t>
      </w:r>
      <w:r>
        <w:t xml:space="preserve">EU AI Act does not restrict use of copyrighted works for AI training; relies on copyright law (Directive 2019/790) fair use exception.</w:t>
      </w:r>
    </w:p>
    <w:p>
      <w:pPr>
        <w:pStyle w:val="Heading4"/>
      </w:pPr>
      <w:bookmarkStart w:id="95" w:name="nist-ai-rmf-map-function"/>
      <w:r>
        <w:t xml:space="preserve">NIST AI RMF Map Function</w:t>
      </w:r>
      <w:bookmarkEnd w:id="95"/>
    </w:p>
    <w:p>
      <w:pPr>
        <w:pStyle w:val="FirstParagraph"/>
      </w:pPr>
      <w:r>
        <w:t xml:space="preserve">“</w:t>
      </w:r>
      <w:r>
        <w:t xml:space="preserve">Understanding and cataloging artificial intelligence technology, its application, uses and capacities</w:t>
      </w:r>
      <w:r>
        <w:t xml:space="preserve">”</w:t>
      </w:r>
      <w:r>
        <w:t xml:space="preserve"> </w:t>
      </w:r>
      <w:r>
        <w:t xml:space="preserve">including:</w:t>
      </w:r>
      <w:r>
        <w:t xml:space="preserve"> </w:t>
      </w:r>
      <w:r>
        <w:t xml:space="preserve">- Data source documentation</w:t>
      </w:r>
      <w:r>
        <w:t xml:space="preserve"> </w:t>
      </w:r>
      <w:r>
        <w:t xml:space="preserve">- Training data characteristics</w:t>
      </w:r>
      <w:r>
        <w:t xml:space="preserve"> </w:t>
      </w:r>
      <w:r>
        <w:t xml:space="preserve">- Potential data bias assessment</w:t>
      </w:r>
    </w:p>
    <w:p>
      <w:pPr>
        <w:pStyle w:val="Heading4"/>
      </w:pPr>
      <w:bookmarkStart w:id="96" w:name="trump-ai-act-sections-1501-1502"/>
      <w:r>
        <w:t xml:space="preserve">TRUMP AI Act Sections 1501-1502</w:t>
      </w:r>
      <w:bookmarkEnd w:id="96"/>
    </w:p>
    <w:p>
      <w:pPr>
        <w:pStyle w:val="FirstParagraph"/>
      </w:pPr>
      <w:r>
        <w:rPr>
          <w:b/>
        </w:rPr>
        <w:t xml:space="preserve">Copyright Training Data Restriction:</w:t>
      </w:r>
      <w:r>
        <w:t xml:space="preserve"> </w:t>
      </w:r>
      <w:r>
        <w:t xml:space="preserve">- Unauthorized use of copyrighted works for AI training</w:t>
      </w:r>
      <w:r>
        <w:t xml:space="preserve"> </w:t>
      </w:r>
      <w:r>
        <w:t xml:space="preserve">“</w:t>
      </w:r>
      <w:r>
        <w:t xml:space="preserve">shall not constitute fair use</w:t>
      </w:r>
      <w:r>
        <w:t xml:space="preserve">”</w:t>
      </w:r>
      <w:r>
        <w:t xml:space="preserve"> </w:t>
      </w:r>
      <w:r>
        <w:t xml:space="preserve">- Derivative AI models incorporating copyrighted training data are infringing works</w:t>
      </w:r>
      <w:r>
        <w:t xml:space="preserve"> </w:t>
      </w:r>
      <w:r>
        <w:t xml:space="preserve">- No copyright protection for infringing AI-generated derivative works</w:t>
      </w:r>
      <w:r>
        <w:t xml:space="preserve"> </w:t>
      </w:r>
      <w:r>
        <w:t xml:space="preserve">- Evidentiary burden on developer:</w:t>
      </w:r>
      <w:r>
        <w:t xml:space="preserve"> </w:t>
      </w:r>
      <w:r>
        <w:t xml:space="preserve">“</w:t>
      </w:r>
      <w:r>
        <w:t xml:space="preserve">clear and convincing evidence</w:t>
      </w:r>
      <w:r>
        <w:t xml:space="preserve">”</w:t>
      </w:r>
      <w:r>
        <w:t xml:space="preserve"> </w:t>
      </w:r>
      <w:r>
        <w:t xml:space="preserve">that training used only authorized materials</w:t>
      </w:r>
    </w:p>
    <w:p>
      <w:pPr>
        <w:pStyle w:val="BodyText"/>
      </w:pPr>
      <w:r>
        <w:rPr>
          <w:b/>
        </w:rPr>
        <w:t xml:space="preserve">Policy Shift:</w:t>
      </w:r>
      <w:r>
        <w:t xml:space="preserve"> </w:t>
      </w:r>
      <w:r>
        <w:t xml:space="preserve">Reverses safe harbor for copyrighted training data; creates strict liability for unauthorized use.</w:t>
      </w:r>
    </w:p>
    <w:p>
      <w:pPr>
        <w:pStyle w:val="Heading4"/>
      </w:pPr>
      <w:bookmarkStart w:id="97" w:name="X951a265962c8a2cdd6fc58d22aa235e0f3078b0"/>
      <w:r>
        <w:t xml:space="preserve">Interoperability Mapping 6: Training Data and Copyright</w:t>
      </w:r>
      <w:bookmarkEnd w:id="9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Copyright/Training Data</w:t>
            </w:r>
          </w:p>
        </w:tc>
        <w:tc>
          <w:tcPr>
            <w:tcBorders>
              <w:bottom w:val="single"/>
            </w:tcBorders>
            <w:vAlign w:val="bottom"/>
          </w:tcPr>
          <w:p>
            <w:pPr>
              <w:pStyle w:val="Compact"/>
              <w:jc w:val="left"/>
            </w:pPr>
            <w:r>
              <w:t xml:space="preserve">EU AI Act Art. 6, Directive 2019/790</w:t>
            </w:r>
          </w:p>
        </w:tc>
        <w:tc>
          <w:tcPr>
            <w:tcBorders>
              <w:bottom w:val="single"/>
            </w:tcBorders>
            <w:vAlign w:val="bottom"/>
          </w:tcPr>
          <w:p>
            <w:pPr>
              <w:pStyle w:val="Compact"/>
              <w:jc w:val="left"/>
            </w:pPr>
            <w:r>
              <w:t xml:space="preserve">NIST Map</w:t>
            </w:r>
          </w:p>
        </w:tc>
        <w:tc>
          <w:tcPr>
            <w:tcBorders>
              <w:bottom w:val="single"/>
            </w:tcBorders>
            <w:vAlign w:val="bottom"/>
          </w:tcPr>
          <w:p>
            <w:pPr>
              <w:pStyle w:val="Compact"/>
              <w:jc w:val="left"/>
            </w:pPr>
            <w:r>
              <w:t xml:space="preserve">TRUMP Sections 1501-1502</w:t>
            </w:r>
          </w:p>
        </w:tc>
      </w:tr>
      <w:tr>
        <w:tc>
          <w:p>
            <w:pPr>
              <w:pStyle w:val="Compact"/>
              <w:jc w:val="left"/>
            </w:pPr>
            <w:r>
              <w:rPr>
                <w:b/>
              </w:rPr>
              <w:t xml:space="preserve">Training Data Transparency</w:t>
            </w:r>
          </w:p>
        </w:tc>
        <w:tc>
          <w:p>
            <w:pPr>
              <w:pStyle w:val="Compact"/>
              <w:jc w:val="left"/>
            </w:pPr>
            <w:r>
              <w:t xml:space="preserve">Required for high-risk systems</w:t>
            </w:r>
          </w:p>
        </w:tc>
        <w:tc>
          <w:p>
            <w:pPr>
              <w:pStyle w:val="Compact"/>
              <w:jc w:val="left"/>
            </w:pPr>
            <w:r>
              <w:t xml:space="preserve">Cataloging requirement</w:t>
            </w:r>
          </w:p>
        </w:tc>
        <w:tc>
          <w:p>
            <w:pPr>
              <w:pStyle w:val="Compact"/>
              <w:jc w:val="left"/>
            </w:pPr>
            <w:r>
              <w:t xml:space="preserve">Implicit (evidentiary requirement)</w:t>
            </w:r>
          </w:p>
        </w:tc>
      </w:tr>
      <w:tr>
        <w:tc>
          <w:p>
            <w:pPr>
              <w:pStyle w:val="Compact"/>
              <w:jc w:val="left"/>
            </w:pPr>
            <w:r>
              <w:rPr>
                <w:b/>
              </w:rPr>
              <w:t xml:space="preserve">Copyrighted Data Use</w:t>
            </w:r>
          </w:p>
        </w:tc>
        <w:tc>
          <w:p>
            <w:pPr>
              <w:pStyle w:val="Compact"/>
              <w:jc w:val="left"/>
            </w:pPr>
            <w:r>
              <w:t xml:space="preserve">Fair use exception available</w:t>
            </w:r>
          </w:p>
        </w:tc>
        <w:tc>
          <w:p>
            <w:pPr>
              <w:pStyle w:val="Compact"/>
              <w:jc w:val="left"/>
            </w:pPr>
            <w:r>
              <w:t xml:space="preserve">Not addressed</w:t>
            </w:r>
          </w:p>
        </w:tc>
        <w:tc>
          <w:p>
            <w:pPr>
              <w:pStyle w:val="Compact"/>
              <w:jc w:val="left"/>
            </w:pPr>
            <w:r>
              <w:rPr>
                <w:b/>
              </w:rPr>
              <w:t xml:space="preserve">Prohibited outside authorization</w:t>
            </w:r>
          </w:p>
        </w:tc>
      </w:tr>
      <w:tr>
        <w:tc>
          <w:p>
            <w:pPr>
              <w:pStyle w:val="Compact"/>
              <w:jc w:val="left"/>
            </w:pPr>
            <w:r>
              <w:rPr>
                <w:b/>
              </w:rPr>
              <w:t xml:space="preserve">Derivative Works</w:t>
            </w:r>
          </w:p>
        </w:tc>
        <w:tc>
          <w:p>
            <w:pPr>
              <w:pStyle w:val="Compact"/>
              <w:jc w:val="left"/>
            </w:pPr>
            <w:r>
              <w:t xml:space="preserve">No specific restriction</w:t>
            </w:r>
          </w:p>
        </w:tc>
        <w:tc>
          <w:p>
            <w:pPr>
              <w:pStyle w:val="Compact"/>
              <w:jc w:val="left"/>
            </w:pPr>
            <w:r>
              <w:t xml:space="preserve">Cataloging required</w:t>
            </w:r>
          </w:p>
        </w:tc>
        <w:tc>
          <w:p>
            <w:pPr>
              <w:pStyle w:val="Compact"/>
              <w:jc w:val="left"/>
            </w:pPr>
            <w:r>
              <w:rPr>
                <w:b/>
              </w:rPr>
              <w:t xml:space="preserve">Infringing unless authorized</w:t>
            </w:r>
          </w:p>
        </w:tc>
      </w:tr>
      <w:tr>
        <w:tc>
          <w:p>
            <w:pPr>
              <w:pStyle w:val="Compact"/>
              <w:jc w:val="left"/>
            </w:pPr>
            <w:r>
              <w:rPr>
                <w:b/>
              </w:rPr>
              <w:t xml:space="preserve">Copyright Protection</w:t>
            </w:r>
          </w:p>
        </w:tc>
        <w:tc>
          <w:p>
            <w:pPr>
              <w:pStyle w:val="Compact"/>
              <w:jc w:val="left"/>
            </w:pPr>
            <w:r>
              <w:t xml:space="preserve">Available for AI-generated works</w:t>
            </w:r>
          </w:p>
        </w:tc>
        <w:tc>
          <w:p>
            <w:pPr>
              <w:pStyle w:val="Compact"/>
              <w:jc w:val="left"/>
            </w:pPr>
            <w:r>
              <w:t xml:space="preserve">Not addressed</w:t>
            </w:r>
          </w:p>
        </w:tc>
        <w:tc>
          <w:p>
            <w:pPr>
              <w:pStyle w:val="Compact"/>
              <w:jc w:val="left"/>
            </w:pPr>
            <w:r>
              <w:rPr>
                <w:b/>
              </w:rPr>
              <w:t xml:space="preserve">Denied for infringing derivatives</w:t>
            </w:r>
          </w:p>
        </w:tc>
      </w:tr>
      <w:tr>
        <w:tc>
          <w:p>
            <w:pPr>
              <w:pStyle w:val="Compact"/>
              <w:jc w:val="left"/>
            </w:pPr>
            <w:r>
              <w:rPr>
                <w:b/>
              </w:rPr>
              <w:t xml:space="preserve">Evidentiary Burden</w:t>
            </w:r>
          </w:p>
        </w:tc>
        <w:tc>
          <w:p>
            <w:pPr>
              <w:pStyle w:val="Compact"/>
              <w:jc w:val="left"/>
            </w:pPr>
            <w:r>
              <w:t xml:space="preserve">Not specified</w:t>
            </w:r>
          </w:p>
        </w:tc>
        <w:tc>
          <w:p>
            <w:pPr>
              <w:pStyle w:val="Compact"/>
              <w:jc w:val="left"/>
            </w:pPr>
            <w:r>
              <w:t xml:space="preserve">Not specified</w:t>
            </w:r>
          </w:p>
        </w:tc>
        <w:tc>
          <w:p>
            <w:pPr>
              <w:pStyle w:val="Compact"/>
              <w:jc w:val="left"/>
            </w:pPr>
            <w:r>
              <w:rPr>
                <w:b/>
              </w:rPr>
              <w:t xml:space="preserve">Developer bears burden (clear &amp; convincing)</w:t>
            </w:r>
          </w:p>
        </w:tc>
      </w:tr>
      <w:tr>
        <w:tc>
          <w:p>
            <w:pPr>
              <w:pStyle w:val="Compact"/>
              <w:jc w:val="left"/>
            </w:pPr>
            <w:r>
              <w:rPr>
                <w:b/>
              </w:rPr>
              <w:t xml:space="preserve">Policy Approach</w:t>
            </w:r>
          </w:p>
        </w:tc>
        <w:tc>
          <w:p>
            <w:pPr>
              <w:pStyle w:val="Compact"/>
              <w:jc w:val="left"/>
            </w:pPr>
            <w:r>
              <w:t xml:space="preserve">Permissive (fair use)</w:t>
            </w:r>
          </w:p>
        </w:tc>
        <w:tc>
          <w:p>
            <w:pPr>
              <w:pStyle w:val="Compact"/>
              <w:jc w:val="left"/>
            </w:pPr>
            <w:r>
              <w:t xml:space="preserve">Descriptive (cataloging)</w:t>
            </w:r>
          </w:p>
        </w:tc>
        <w:tc>
          <w:p>
            <w:pPr>
              <w:pStyle w:val="Compact"/>
              <w:jc w:val="left"/>
            </w:pPr>
            <w:r>
              <w:rPr>
                <w:b/>
              </w:rPr>
              <w:t xml:space="preserve">Restrictive (authorization required)</w:t>
            </w:r>
          </w:p>
        </w:tc>
      </w:tr>
    </w:tbl>
    <w:p>
      <w:pPr>
        <w:pStyle w:val="BodyText"/>
      </w:pPr>
      <w:r>
        <w:rPr>
          <w:b/>
        </w:rPr>
        <w:t xml:space="preserve">Thesis Finding:</w:t>
      </w:r>
      <w:r>
        <w:t xml:space="preserve"> </w:t>
      </w:r>
      <w:r>
        <w:t xml:space="preserve">TRUMP AI Act creates</w:t>
      </w:r>
      <w:r>
        <w:t xml:space="preserve"> </w:t>
      </w:r>
      <w:r>
        <w:rPr>
          <w:b/>
        </w:rPr>
        <w:t xml:space="preserve">most restrictive copyright regime</w:t>
      </w:r>
      <w:r>
        <w:t xml:space="preserve"> </w:t>
      </w:r>
      <w:r>
        <w:t xml:space="preserve">among three frameworks, effectively requiring developers to obtain copyright licenses for training data. This contrasts sharply with EU’s reliance on fair use exception.</w:t>
      </w:r>
    </w:p>
    <w:p>
      <w:pPr>
        <w:pStyle w:val="BodyText"/>
      </w:pPr>
      <w:r>
        <w:rPr>
          <w:b/>
        </w:rPr>
        <w:t xml:space="preserve">Interoperability Challenge:</w:t>
      </w:r>
      <w:r>
        <w:t xml:space="preserve"> </w:t>
      </w:r>
      <w:r>
        <w:t xml:space="preserve">Developer must comply with:</w:t>
      </w:r>
      <w:r>
        <w:t xml:space="preserve"> </w:t>
      </w:r>
      <w:r>
        <w:t xml:space="preserve">- EU fair use exception framework (permissive)</w:t>
      </w:r>
      <w:r>
        <w:t xml:space="preserve"> </w:t>
      </w:r>
      <w:r>
        <w:t xml:space="preserve">- TRUMP strict liability for copyrighted training (restrictive)</w:t>
      </w:r>
      <w:r>
        <w:t xml:space="preserve"> </w:t>
      </w:r>
      <w:r>
        <w:t xml:space="preserve">- Simultaneously for transatlantic deployment</w:t>
      </w:r>
    </w:p>
    <w:p>
      <w:r>
        <w:pict>
          <v:rect style="width:0;height:1.5pt" o:hralign="center" o:hrstd="t" o:hr="t"/>
        </w:pict>
      </w:r>
    </w:p>
    <w:p>
      <w:pPr>
        <w:pStyle w:val="Heading3"/>
      </w:pPr>
      <w:bookmarkStart w:id="98" w:name="Xb6112644abb5331edc8e301d457dbb530ff7a9f"/>
      <w:r>
        <w:t xml:space="preserve">4.7 Content Provenance, Synthetic Content Detection, and Deepfake Protection</w:t>
      </w:r>
      <w:bookmarkEnd w:id="98"/>
    </w:p>
    <w:p>
      <w:pPr>
        <w:pStyle w:val="Heading4"/>
      </w:pPr>
      <w:bookmarkStart w:id="99" w:name="eu-ai-act-approach"/>
      <w:r>
        <w:t xml:space="preserve">EU AI Act Approach</w:t>
      </w:r>
      <w:bookmarkEnd w:id="99"/>
    </w:p>
    <w:p>
      <w:pPr>
        <w:pStyle w:val="FirstParagraph"/>
      </w:pPr>
      <w:r>
        <w:rPr>
          <w:b/>
        </w:rPr>
        <w:t xml:space="preserve">Not directly addressed:</w:t>
      </w:r>
      <w:r>
        <w:t xml:space="preserve"> </w:t>
      </w:r>
      <w:r>
        <w:t xml:space="preserve">EU AI Act does not establish content provenance or synthetic content detection requirements.</w:t>
      </w:r>
    </w:p>
    <w:p>
      <w:pPr>
        <w:pStyle w:val="BodyText"/>
      </w:pPr>
      <w:r>
        <w:rPr>
          <w:b/>
        </w:rPr>
        <w:t xml:space="preserve">Related frameworks:</w:t>
      </w:r>
      <w:r>
        <w:t xml:space="preserve"> </w:t>
      </w:r>
      <w:r>
        <w:t xml:space="preserve">- Directive 2022/2554 (Corporate Transparency)</w:t>
      </w:r>
      <w:r>
        <w:t xml:space="preserve"> </w:t>
      </w:r>
      <w:r>
        <w:t xml:space="preserve">- Code of Conduct on Illegal Online Content (voluntary)</w:t>
      </w:r>
      <w:r>
        <w:t xml:space="preserve"> </w:t>
      </w:r>
      <w:r>
        <w:t xml:space="preserve">- Future Media Freedom Directive (proposed)</w:t>
      </w:r>
    </w:p>
    <w:p>
      <w:pPr>
        <w:pStyle w:val="Heading4"/>
      </w:pPr>
      <w:bookmarkStart w:id="100" w:name="nist-ai-rmf-approach"/>
      <w:r>
        <w:t xml:space="preserve">NIST AI RMF Approach</w:t>
      </w:r>
      <w:bookmarkEnd w:id="100"/>
    </w:p>
    <w:p>
      <w:pPr>
        <w:pStyle w:val="FirstParagraph"/>
      </w:pPr>
      <w:r>
        <w:rPr>
          <w:b/>
        </w:rPr>
        <w:t xml:space="preserve">Map Function:</w:t>
      </w:r>
      <w:r>
        <w:t xml:space="preserve"> </w:t>
      </w:r>
      <w:r>
        <w:t xml:space="preserve">Documenting AI technology capabilities, including generative AI outputs</w:t>
      </w:r>
    </w:p>
    <w:p>
      <w:pPr>
        <w:pStyle w:val="BodyText"/>
      </w:pPr>
      <w:r>
        <w:rPr>
          <w:b/>
        </w:rPr>
        <w:t xml:space="preserve">Measure Function:</w:t>
      </w:r>
      <w:r>
        <w:t xml:space="preserve"> </w:t>
      </w:r>
      <w:r>
        <w:t xml:space="preserve">Assessing impact of AI-generated synthetic content</w:t>
      </w:r>
    </w:p>
    <w:p>
      <w:pPr>
        <w:pStyle w:val="BodyText"/>
      </w:pPr>
      <w:r>
        <w:rPr>
          <w:b/>
        </w:rPr>
        <w:t xml:space="preserve">No specific standards:</w:t>
      </w:r>
      <w:r>
        <w:t xml:space="preserve"> </w:t>
      </w:r>
      <w:r>
        <w:t xml:space="preserve">NIST does not establish watermarking, provenance, or detection standards.</w:t>
      </w:r>
    </w:p>
    <w:p>
      <w:pPr>
        <w:pStyle w:val="Heading4"/>
      </w:pPr>
      <w:bookmarkStart w:id="101" w:name="Xb84210b2983b38e5f5f8ed8927b393d8539cc9f"/>
      <w:r>
        <w:t xml:space="preserve">TRUMP AI Act Title XIV (Sections 1401-1407)</w:t>
      </w:r>
      <w:bookmarkEnd w:id="101"/>
    </w:p>
    <w:p>
      <w:pPr>
        <w:pStyle w:val="FirstParagraph"/>
      </w:pPr>
      <w:r>
        <w:rPr>
          <w:b/>
        </w:rPr>
        <w:t xml:space="preserve">Comprehensive Statutory Framework:</w:t>
      </w:r>
    </w:p>
    <w:p>
      <w:pPr>
        <w:numPr>
          <w:ilvl w:val="0"/>
          <w:numId w:val="1001"/>
        </w:numPr>
        <w:pStyle w:val="Compact"/>
      </w:pPr>
      <w:r>
        <w:rPr>
          <w:b/>
        </w:rPr>
        <w:t xml:space="preserve">Definitions (Sec. 1402):</w:t>
      </w:r>
    </w:p>
    <w:p>
      <w:pPr>
        <w:numPr>
          <w:ilvl w:val="1"/>
          <w:numId w:val="1002"/>
        </w:numPr>
        <w:pStyle w:val="Compact"/>
      </w:pPr>
      <w:r>
        <w:t xml:space="preserve">Content provenance information</w:t>
      </w:r>
    </w:p>
    <w:p>
      <w:pPr>
        <w:numPr>
          <w:ilvl w:val="1"/>
          <w:numId w:val="1002"/>
        </w:numPr>
        <w:pStyle w:val="Compact"/>
      </w:pPr>
      <w:r>
        <w:t xml:space="preserve">Watermarking (embedding verifiable authenticity information)</w:t>
      </w:r>
    </w:p>
    <w:p>
      <w:pPr>
        <w:numPr>
          <w:ilvl w:val="1"/>
          <w:numId w:val="1002"/>
        </w:numPr>
        <w:pStyle w:val="Compact"/>
      </w:pPr>
      <w:r>
        <w:t xml:space="preserve">Synthetic content (wholly AI-generated)</w:t>
      </w:r>
    </w:p>
    <w:p>
      <w:pPr>
        <w:numPr>
          <w:ilvl w:val="1"/>
          <w:numId w:val="1002"/>
        </w:numPr>
        <w:pStyle w:val="Compact"/>
      </w:pPr>
      <w:r>
        <w:t xml:space="preserve">Synthetically-modified content (significantly AI-modified)</w:t>
      </w:r>
    </w:p>
    <w:p>
      <w:pPr>
        <w:numPr>
          <w:ilvl w:val="1"/>
          <w:numId w:val="1002"/>
        </w:numPr>
        <w:pStyle w:val="Compact"/>
      </w:pPr>
      <w:r>
        <w:t xml:space="preserve">Deepfake (synthetic content appearing authentic)</w:t>
      </w:r>
    </w:p>
    <w:p>
      <w:pPr>
        <w:numPr>
          <w:ilvl w:val="0"/>
          <w:numId w:val="1001"/>
        </w:numPr>
        <w:pStyle w:val="Compact"/>
      </w:pPr>
      <w:r>
        <w:rPr>
          <w:b/>
        </w:rPr>
        <w:t xml:space="preserve">Standards Development (Sec. 1403):</w:t>
      </w:r>
    </w:p>
    <w:p>
      <w:pPr>
        <w:numPr>
          <w:ilvl w:val="1"/>
          <w:numId w:val="1003"/>
        </w:numPr>
        <w:pStyle w:val="Compact"/>
      </w:pPr>
      <w:r>
        <w:t xml:space="preserve">NIST public-private partnership for watermarking, provenance, detection standards</w:t>
      </w:r>
    </w:p>
    <w:p>
      <w:pPr>
        <w:numPr>
          <w:ilvl w:val="1"/>
          <w:numId w:val="1003"/>
        </w:numPr>
        <w:pStyle w:val="Compact"/>
      </w:pPr>
      <w:r>
        <w:t xml:space="preserve">Voluntary, consensus-based standards for images, audio, video, text, multimodal</w:t>
      </w:r>
    </w:p>
    <w:p>
      <w:pPr>
        <w:numPr>
          <w:ilvl w:val="1"/>
          <w:numId w:val="1003"/>
        </w:numPr>
        <w:pStyle w:val="Compact"/>
      </w:pPr>
      <w:r>
        <w:t xml:space="preserve">DARPA/NSF grand challenges for detection and labeling</w:t>
      </w:r>
    </w:p>
    <w:p>
      <w:pPr>
        <w:numPr>
          <w:ilvl w:val="0"/>
          <w:numId w:val="1001"/>
        </w:numPr>
        <w:pStyle w:val="Compact"/>
      </w:pPr>
      <w:r>
        <w:rPr>
          <w:b/>
        </w:rPr>
        <w:t xml:space="preserve">NIST R&amp;D (Sec. 1404):</w:t>
      </w:r>
    </w:p>
    <w:p>
      <w:pPr>
        <w:numPr>
          <w:ilvl w:val="1"/>
          <w:numId w:val="1004"/>
        </w:numPr>
        <w:pStyle w:val="Compact"/>
      </w:pPr>
      <w:r>
        <w:t xml:space="preserve">Research on synthetic content detection</w:t>
      </w:r>
    </w:p>
    <w:p>
      <w:pPr>
        <w:numPr>
          <w:ilvl w:val="1"/>
          <w:numId w:val="1004"/>
        </w:numPr>
        <w:pStyle w:val="Compact"/>
      </w:pPr>
      <w:r>
        <w:t xml:space="preserve">Watermarking robustness and anti-tampering</w:t>
      </w:r>
    </w:p>
    <w:p>
      <w:pPr>
        <w:numPr>
          <w:ilvl w:val="1"/>
          <w:numId w:val="1004"/>
        </w:numPr>
        <w:pStyle w:val="Compact"/>
      </w:pPr>
      <w:r>
        <w:t xml:space="preserve">Content provenance architecture</w:t>
      </w:r>
    </w:p>
    <w:p>
      <w:pPr>
        <w:numPr>
          <w:ilvl w:val="1"/>
          <w:numId w:val="1004"/>
        </w:numPr>
        <w:pStyle w:val="Compact"/>
      </w:pPr>
      <w:r>
        <w:t xml:space="preserve">Detection tool resilience</w:t>
      </w:r>
    </w:p>
    <w:p>
      <w:pPr>
        <w:numPr>
          <w:ilvl w:val="0"/>
          <w:numId w:val="1001"/>
        </w:numPr>
        <w:pStyle w:val="Compact"/>
      </w:pPr>
      <w:r>
        <w:rPr>
          <w:b/>
        </w:rPr>
        <w:t xml:space="preserve">Mandatory Provenance Requirements (Sec. 1405 - Beginning 2 years post-enactment):</w:t>
      </w:r>
    </w:p>
    <w:p>
      <w:pPr>
        <w:numPr>
          <w:ilvl w:val="1"/>
          <w:numId w:val="1005"/>
        </w:numPr>
        <w:pStyle w:val="Compact"/>
      </w:pPr>
      <w:r>
        <w:t xml:space="preserve">Tool developers must enable content provenance embedding</w:t>
      </w:r>
    </w:p>
    <w:p>
      <w:pPr>
        <w:numPr>
          <w:ilvl w:val="1"/>
          <w:numId w:val="1005"/>
        </w:numPr>
        <w:pStyle w:val="Compact"/>
      </w:pPr>
      <w:r>
        <w:t xml:space="preserve">Reasonable security measures to prevent removal</w:t>
      </w:r>
    </w:p>
    <w:p>
      <w:pPr>
        <w:numPr>
          <w:ilvl w:val="1"/>
          <w:numId w:val="1005"/>
        </w:numPr>
        <w:pStyle w:val="Compact"/>
      </w:pPr>
      <w:r>
        <w:t xml:space="preserve">Covered platforms prohibited from removing provenance information</w:t>
      </w:r>
    </w:p>
    <w:p>
      <w:pPr>
        <w:numPr>
          <w:ilvl w:val="1"/>
          <w:numId w:val="1005"/>
        </w:numPr>
        <w:pStyle w:val="Compact"/>
      </w:pPr>
      <w:r>
        <w:t xml:space="preserve">Removal in furtherance of deception is unlawful</w:t>
      </w:r>
    </w:p>
    <w:p>
      <w:pPr>
        <w:numPr>
          <w:ilvl w:val="0"/>
          <w:numId w:val="1001"/>
        </w:numPr>
        <w:pStyle w:val="Compact"/>
      </w:pPr>
      <w:r>
        <w:rPr>
          <w:b/>
        </w:rPr>
        <w:t xml:space="preserve">Enforcement (Sec. 1406):</w:t>
      </w:r>
    </w:p>
    <w:p>
      <w:pPr>
        <w:numPr>
          <w:ilvl w:val="1"/>
          <w:numId w:val="1006"/>
        </w:numPr>
        <w:pStyle w:val="Compact"/>
      </w:pPr>
      <w:r>
        <w:t xml:space="preserve">FTC enforcement as unfair/deceptive practice</w:t>
      </w:r>
    </w:p>
    <w:p>
      <w:pPr>
        <w:numPr>
          <w:ilvl w:val="1"/>
          <w:numId w:val="1006"/>
        </w:numPr>
        <w:pStyle w:val="Compact"/>
      </w:pPr>
      <w:r>
        <w:t xml:space="preserve">Private right of action for copyright owners</w:t>
      </w:r>
    </w:p>
    <w:p>
      <w:pPr>
        <w:numPr>
          <w:ilvl w:val="1"/>
          <w:numId w:val="1006"/>
        </w:numPr>
        <w:pStyle w:val="Compact"/>
      </w:pPr>
      <w:r>
        <w:t xml:space="preserve">4-year statute of limitations</w:t>
      </w:r>
    </w:p>
    <w:p>
      <w:pPr>
        <w:pStyle w:val="Heading4"/>
      </w:pPr>
      <w:bookmarkStart w:id="102" w:name="X30ecd1e05f112f18ed9179c216b194ab8bc606a"/>
      <w:r>
        <w:t xml:space="preserve">Interoperability Mapping 7: Content Provenance and Synthetic Content</w:t>
      </w:r>
      <w:bookmarkEnd w:id="10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Framework Element</w:t>
            </w:r>
          </w:p>
        </w:tc>
        <w:tc>
          <w:tcPr>
            <w:tcBorders>
              <w:bottom w:val="single"/>
            </w:tcBorders>
            <w:vAlign w:val="bottom"/>
          </w:tcPr>
          <w:p>
            <w:pPr>
              <w:pStyle w:val="Compact"/>
              <w:jc w:val="left"/>
            </w:pPr>
            <w:r>
              <w:t xml:space="preserve">EU AI Act</w:t>
            </w:r>
          </w:p>
        </w:tc>
        <w:tc>
          <w:tcPr>
            <w:tcBorders>
              <w:bottom w:val="single"/>
            </w:tcBorders>
            <w:vAlign w:val="bottom"/>
          </w:tcPr>
          <w:p>
            <w:pPr>
              <w:pStyle w:val="Compact"/>
              <w:jc w:val="left"/>
            </w:pPr>
            <w:r>
              <w:t xml:space="preserve">NIST AI RMF</w:t>
            </w:r>
          </w:p>
        </w:tc>
        <w:tc>
          <w:tcPr>
            <w:tcBorders>
              <w:bottom w:val="single"/>
            </w:tcBorders>
            <w:vAlign w:val="bottom"/>
          </w:tcPr>
          <w:p>
            <w:pPr>
              <w:pStyle w:val="Compact"/>
              <w:jc w:val="left"/>
            </w:pPr>
            <w:r>
              <w:t xml:space="preserve">TRUMP Title XIV</w:t>
            </w:r>
          </w:p>
        </w:tc>
      </w:tr>
      <w:tr>
        <w:tc>
          <w:p>
            <w:pPr>
              <w:pStyle w:val="Compact"/>
              <w:jc w:val="left"/>
            </w:pPr>
            <w:r>
              <w:rPr>
                <w:b/>
              </w:rPr>
              <w:t xml:space="preserve">Synthetic Content Detection</w:t>
            </w:r>
          </w:p>
        </w:tc>
        <w:tc>
          <w:p>
            <w:pPr>
              <w:pStyle w:val="Compact"/>
              <w:jc w:val="left"/>
            </w:pPr>
            <w:r>
              <w:t xml:space="preserve">Not addressed</w:t>
            </w:r>
          </w:p>
        </w:tc>
        <w:tc>
          <w:p>
            <w:pPr>
              <w:pStyle w:val="Compact"/>
              <w:jc w:val="left"/>
            </w:pPr>
            <w:r>
              <w:t xml:space="preserve">Implicit (Map/Measure)</w:t>
            </w:r>
          </w:p>
        </w:tc>
        <w:tc>
          <w:p>
            <w:pPr>
              <w:pStyle w:val="Compact"/>
              <w:jc w:val="left"/>
            </w:pPr>
            <w:r>
              <w:rPr>
                <w:b/>
              </w:rPr>
              <w:t xml:space="preserve">Explicitly required (Sec. 1404)</w:t>
            </w:r>
          </w:p>
        </w:tc>
      </w:tr>
      <w:tr>
        <w:tc>
          <w:p>
            <w:pPr>
              <w:pStyle w:val="Compact"/>
              <w:jc w:val="left"/>
            </w:pPr>
            <w:r>
              <w:rPr>
                <w:b/>
              </w:rPr>
              <w:t xml:space="preserve">Watermarking Standards</w:t>
            </w:r>
          </w:p>
        </w:tc>
        <w:tc>
          <w:p>
            <w:pPr>
              <w:pStyle w:val="Compact"/>
              <w:jc w:val="left"/>
            </w:pPr>
            <w:r>
              <w:t xml:space="preserve">Not addressed</w:t>
            </w:r>
          </w:p>
        </w:tc>
        <w:tc>
          <w:p>
            <w:pPr>
              <w:pStyle w:val="Compact"/>
              <w:jc w:val="left"/>
            </w:pPr>
            <w:r>
              <w:t xml:space="preserve">Not addressed</w:t>
            </w:r>
          </w:p>
        </w:tc>
        <w:tc>
          <w:p>
            <w:pPr>
              <w:pStyle w:val="Compact"/>
              <w:jc w:val="left"/>
            </w:pPr>
            <w:r>
              <w:rPr>
                <w:b/>
              </w:rPr>
              <w:t xml:space="preserve">NIST-led standards development</w:t>
            </w:r>
          </w:p>
        </w:tc>
      </w:tr>
      <w:tr>
        <w:tc>
          <w:p>
            <w:pPr>
              <w:pStyle w:val="Compact"/>
              <w:jc w:val="left"/>
            </w:pPr>
            <w:r>
              <w:rPr>
                <w:b/>
              </w:rPr>
              <w:t xml:space="preserve">Content Provenance</w:t>
            </w:r>
          </w:p>
        </w:tc>
        <w:tc>
          <w:p>
            <w:pPr>
              <w:pStyle w:val="Compact"/>
              <w:jc w:val="left"/>
            </w:pPr>
            <w:r>
              <w:t xml:space="preserve">Not addressed</w:t>
            </w:r>
          </w:p>
        </w:tc>
        <w:tc>
          <w:p>
            <w:pPr>
              <w:pStyle w:val="Compact"/>
              <w:jc w:val="left"/>
            </w:pPr>
            <w:r>
              <w:t xml:space="preserve">Not addressed</w:t>
            </w:r>
          </w:p>
        </w:tc>
        <w:tc>
          <w:p>
            <w:pPr>
              <w:pStyle w:val="Compact"/>
              <w:jc w:val="left"/>
            </w:pPr>
            <w:r>
              <w:rPr>
                <w:b/>
              </w:rPr>
              <w:t xml:space="preserve">Mandatory (Sec. 1405)</w:t>
            </w:r>
          </w:p>
        </w:tc>
      </w:tr>
      <w:tr>
        <w:tc>
          <w:p>
            <w:pPr>
              <w:pStyle w:val="Compact"/>
              <w:jc w:val="left"/>
            </w:pPr>
            <w:r>
              <w:rPr>
                <w:b/>
              </w:rPr>
              <w:t xml:space="preserve">Tool Developer Requirements</w:t>
            </w:r>
          </w:p>
        </w:tc>
        <w:tc>
          <w:p>
            <w:pPr>
              <w:pStyle w:val="Compact"/>
              <w:jc w:val="left"/>
            </w:pPr>
            <w:r>
              <w:t xml:space="preserve">Not addressed</w:t>
            </w:r>
          </w:p>
        </w:tc>
        <w:tc>
          <w:p>
            <w:pPr>
              <w:pStyle w:val="Compact"/>
              <w:jc w:val="left"/>
            </w:pPr>
            <w:r>
              <w:t xml:space="preserve">Not addressed</w:t>
            </w:r>
          </w:p>
        </w:tc>
        <w:tc>
          <w:p>
            <w:pPr>
              <w:pStyle w:val="Compact"/>
              <w:jc w:val="left"/>
            </w:pPr>
            <w:r>
              <w:rPr>
                <w:b/>
              </w:rPr>
              <w:t xml:space="preserve">Must enable provenance embedding</w:t>
            </w:r>
          </w:p>
        </w:tc>
      </w:tr>
      <w:tr>
        <w:tc>
          <w:p>
            <w:pPr>
              <w:pStyle w:val="Compact"/>
              <w:jc w:val="left"/>
            </w:pPr>
            <w:r>
              <w:rPr>
                <w:b/>
              </w:rPr>
              <w:t xml:space="preserve">Platform Obligations</w:t>
            </w:r>
          </w:p>
        </w:tc>
        <w:tc>
          <w:p>
            <w:pPr>
              <w:pStyle w:val="Compact"/>
              <w:jc w:val="left"/>
            </w:pPr>
            <w:r>
              <w:t xml:space="preserve">Not addressed</w:t>
            </w:r>
          </w:p>
        </w:tc>
        <w:tc>
          <w:p>
            <w:pPr>
              <w:pStyle w:val="Compact"/>
              <w:jc w:val="left"/>
            </w:pPr>
            <w:r>
              <w:t xml:space="preserve">Not addressed</w:t>
            </w:r>
          </w:p>
        </w:tc>
        <w:tc>
          <w:p>
            <w:pPr>
              <w:pStyle w:val="Compact"/>
              <w:jc w:val="left"/>
            </w:pPr>
            <w:r>
              <w:rPr>
                <w:b/>
              </w:rPr>
              <w:t xml:space="preserve">Prohibited from removing provenance</w:t>
            </w:r>
          </w:p>
        </w:tc>
      </w:tr>
      <w:tr>
        <w:tc>
          <w:p>
            <w:pPr>
              <w:pStyle w:val="Compact"/>
              <w:jc w:val="left"/>
            </w:pPr>
            <w:r>
              <w:rPr>
                <w:b/>
              </w:rPr>
              <w:t xml:space="preserve">Detection Grand Challenges</w:t>
            </w:r>
          </w:p>
        </w:tc>
        <w:tc>
          <w:p>
            <w:pPr>
              <w:pStyle w:val="Compact"/>
              <w:jc w:val="left"/>
            </w:pPr>
            <w:r>
              <w:t xml:space="preserve">Not addressed</w:t>
            </w:r>
          </w:p>
        </w:tc>
        <w:tc>
          <w:p>
            <w:pPr>
              <w:pStyle w:val="Compact"/>
              <w:jc w:val="left"/>
            </w:pPr>
            <w:r>
              <w:t xml:space="preserve">Not addressed</w:t>
            </w:r>
          </w:p>
        </w:tc>
        <w:tc>
          <w:p>
            <w:pPr>
              <w:pStyle w:val="Compact"/>
              <w:jc w:val="left"/>
            </w:pPr>
            <w:r>
              <w:rPr>
                <w:b/>
              </w:rPr>
              <w:t xml:space="preserve">DARPA/NSF competitions</w:t>
            </w:r>
          </w:p>
        </w:tc>
      </w:tr>
      <w:tr>
        <w:tc>
          <w:p>
            <w:pPr>
              <w:pStyle w:val="Compact"/>
              <w:jc w:val="left"/>
            </w:pPr>
            <w:r>
              <w:rPr>
                <w:b/>
              </w:rPr>
              <w:t xml:space="preserve">Enforcement</w:t>
            </w:r>
          </w:p>
        </w:tc>
        <w:tc>
          <w:p>
            <w:pPr>
              <w:pStyle w:val="Compact"/>
              <w:jc w:val="left"/>
            </w:pPr>
            <w:r>
              <w:t xml:space="preserve">Not applicable</w:t>
            </w:r>
          </w:p>
        </w:tc>
        <w:tc>
          <w:p>
            <w:pPr>
              <w:pStyle w:val="Compact"/>
              <w:jc w:val="left"/>
            </w:pPr>
            <w:r>
              <w:t xml:space="preserve">Not applicable</w:t>
            </w:r>
          </w:p>
        </w:tc>
        <w:tc>
          <w:p>
            <w:pPr>
              <w:pStyle w:val="Compact"/>
              <w:jc w:val="left"/>
            </w:pPr>
            <w:r>
              <w:rPr>
                <w:b/>
              </w:rPr>
              <w:t xml:space="preserve">FTC + private right of action</w:t>
            </w:r>
          </w:p>
        </w:tc>
      </w:tr>
      <w:tr>
        <w:tc>
          <w:p>
            <w:pPr>
              <w:pStyle w:val="Compact"/>
              <w:jc w:val="left"/>
            </w:pPr>
            <w:r>
              <w:rPr>
                <w:b/>
              </w:rPr>
              <w:t xml:space="preserve">Timeline</w:t>
            </w:r>
          </w:p>
        </w:tc>
        <w:tc>
          <w:p>
            <w:pPr>
              <w:pStyle w:val="Compact"/>
              <w:jc w:val="left"/>
            </w:pPr>
            <w:r>
              <w:t xml:space="preserve">N/A</w:t>
            </w:r>
          </w:p>
        </w:tc>
        <w:tc>
          <w:p>
            <w:pPr>
              <w:pStyle w:val="Compact"/>
              <w:jc w:val="left"/>
            </w:pPr>
            <w:r>
              <w:t xml:space="preserve">N/A</w:t>
            </w:r>
          </w:p>
        </w:tc>
        <w:tc>
          <w:p>
            <w:pPr>
              <w:pStyle w:val="Compact"/>
              <w:jc w:val="left"/>
            </w:pPr>
            <w:r>
              <w:rPr>
                <w:b/>
              </w:rPr>
              <w:t xml:space="preserve">2-year implementation phase</w:t>
            </w:r>
          </w:p>
        </w:tc>
      </w:tr>
    </w:tbl>
    <w:p>
      <w:pPr>
        <w:pStyle w:val="BodyText"/>
      </w:pPr>
      <w:r>
        <w:rPr>
          <w:b/>
        </w:rPr>
        <w:t xml:space="preserve">Thesis Finding:</w:t>
      </w:r>
      <w:r>
        <w:t xml:space="preserve"> </w:t>
      </w:r>
      <w:r>
        <w:t xml:space="preserve">TRUMP AI Act Title XIV establishes</w:t>
      </w:r>
      <w:r>
        <w:t xml:space="preserve"> </w:t>
      </w:r>
      <w:r>
        <w:rPr>
          <w:b/>
        </w:rPr>
        <w:t xml:space="preserve">novel regulatory domain</w:t>
      </w:r>
      <w:r>
        <w:t xml:space="preserve"> </w:t>
      </w:r>
      <w:r>
        <w:t xml:space="preserve">not addressed by EU or NIST, creating content authenticity and provenance regime through federal R&amp;D support, standards development, and mandatory tool/platform requirements.</w:t>
      </w:r>
    </w:p>
    <w:p>
      <w:pPr>
        <w:pStyle w:val="BodyText"/>
      </w:pPr>
      <w:r>
        <w:rPr>
          <w:b/>
        </w:rPr>
        <w:t xml:space="preserve">Interoperability Implication:</w:t>
      </w:r>
      <w:r>
        <w:t xml:space="preserve"> </w:t>
      </w:r>
      <w:r>
        <w:t xml:space="preserve">Title XIV creates</w:t>
      </w:r>
      <w:r>
        <w:t xml:space="preserve"> </w:t>
      </w:r>
      <w:r>
        <w:rPr>
          <w:b/>
        </w:rPr>
        <w:t xml:space="preserve">unique U.S. regulatory advantage</w:t>
      </w:r>
      <w:r>
        <w:t xml:space="preserve"> </w:t>
      </w:r>
      <w:r>
        <w:t xml:space="preserve">not requiring coordination with EU AI Act, as EU does not establish equivalent synthetic content detection and provenance frameworks.</w:t>
      </w:r>
    </w:p>
    <w:p>
      <w:r>
        <w:pict>
          <v:rect style="width:0;height:1.5pt" o:hralign="center" o:hrstd="t" o:hr="t"/>
        </w:pict>
      </w:r>
    </w:p>
    <w:p>
      <w:pPr>
        <w:pStyle w:val="Heading2"/>
      </w:pPr>
      <w:bookmarkStart w:id="103" w:name="X6f989043f388f50c2ea282be7a06508e2daace5"/>
      <w:r>
        <w:t xml:space="preserve">5. KEY FINDINGS FOR THESIS: CHANGES TO INTEROPERABILITY ARGUMENT</w:t>
      </w:r>
      <w:bookmarkEnd w:id="103"/>
    </w:p>
    <w:p>
      <w:pPr>
        <w:pStyle w:val="Heading3"/>
      </w:pPr>
      <w:bookmarkStart w:id="104" w:name="X94d438155d1c889380df605596a5b523f1fa962"/>
      <w:r>
        <w:t xml:space="preserve">Finding 1: Computational Capacity as Risk Threshold</w:t>
      </w:r>
      <w:bookmarkEnd w:id="104"/>
    </w:p>
    <w:p>
      <w:pPr>
        <w:pStyle w:val="FirstParagraph"/>
      </w:pPr>
      <w:r>
        <w:rPr>
          <w:b/>
        </w:rPr>
        <w:t xml:space="preserve">Significance for Interoperability:</w:t>
      </w:r>
      <w:r>
        <w:t xml:space="preserve"> </w:t>
      </w:r>
      <w:r>
        <w:t xml:space="preserve">TRUMP’s computational threshold creates objective entry criterion that diverges from EU’s categorical application-based and NIST’s function-based approaches. This requires</w:t>
      </w:r>
      <w:r>
        <w:t xml:space="preserve"> </w:t>
      </w:r>
      <w:r>
        <w:rPr>
          <w:b/>
        </w:rPr>
        <w:t xml:space="preserve">dual compliance pathways</w:t>
      </w:r>
      <w:r>
        <w:t xml:space="preserve"> </w:t>
      </w:r>
      <w:r>
        <w:t xml:space="preserve">for organizations operating across regimes:</w:t>
      </w:r>
      <w:r>
        <w:t xml:space="preserve"> </w:t>
      </w:r>
      <w:r>
        <w:t xml:space="preserve">- TRUMP: Must assess computational capacity relative to regulatory threshold</w:t>
      </w:r>
      <w:r>
        <w:t xml:space="preserve"> </w:t>
      </w:r>
      <w:r>
        <w:t xml:space="preserve">- EU: Must assess application context relative to high-risk categories (Annex III)</w:t>
      </w:r>
      <w:r>
        <w:t xml:space="preserve"> </w:t>
      </w:r>
      <w:r>
        <w:t xml:space="preserve">- NIST: Must perform risk assessment regardless of size/context</w:t>
      </w:r>
    </w:p>
    <w:p>
      <w:pPr>
        <w:pStyle w:val="BodyText"/>
      </w:pPr>
      <w:r>
        <w:rPr>
          <w:b/>
        </w:rPr>
        <w:t xml:space="preserve">Interoperability Solution Needed:</w:t>
      </w:r>
      <w:r>
        <w:t xml:space="preserve"> </w:t>
      </w:r>
      <w:r>
        <w:t xml:space="preserve">Mapping document translating between computational capacity, categorical application context, and organizational risk assessments.</w:t>
      </w:r>
    </w:p>
    <w:p>
      <w:r>
        <w:pict>
          <v:rect style="width:0;height:1.5pt" o:hralign="center" o:hrstd="t" o:hr="t"/>
        </w:pict>
      </w:r>
    </w:p>
    <w:p>
      <w:pPr>
        <w:pStyle w:val="Heading3"/>
      </w:pPr>
      <w:bookmarkStart w:id="105" w:name="X90b47b26b74957d4a948c7cb75907aae2519f0e"/>
      <w:r>
        <w:t xml:space="preserve">Finding 2: Federal Testing Infrastructure (DOE Evaluation Program)</w:t>
      </w:r>
      <w:bookmarkEnd w:id="105"/>
    </w:p>
    <w:p>
      <w:pPr>
        <w:pStyle w:val="FirstParagraph"/>
      </w:pPr>
      <w:r>
        <w:rPr>
          <w:b/>
        </w:rPr>
        <w:t xml:space="preserve">Significance for Interoperability:</w:t>
      </w:r>
      <w:r>
        <w:t xml:space="preserve"> </w:t>
      </w:r>
      <w:r>
        <w:t xml:space="preserve">TRUMP’s Section 603 establishing Department of Energy centralized evaluation program with standardized testing, red-teaming, blind model evaluation, and federal laboratory testbed is</w:t>
      </w:r>
      <w:r>
        <w:t xml:space="preserve"> </w:t>
      </w:r>
      <w:r>
        <w:rPr>
          <w:b/>
        </w:rPr>
        <w:t xml:space="preserve">functionally distinct</w:t>
      </w:r>
      <w:r>
        <w:t xml:space="preserve"> </w:t>
      </w:r>
      <w:r>
        <w:t xml:space="preserve">from:</w:t>
      </w:r>
      <w:r>
        <w:t xml:space="preserve"> </w:t>
      </w:r>
      <w:r>
        <w:t xml:space="preserve">- EU model: Dispersed notified bodies with competent authority oversight</w:t>
      </w:r>
      <w:r>
        <w:t xml:space="preserve"> </w:t>
      </w:r>
      <w:r>
        <w:t xml:space="preserve">- NIST model: Organizational self-assessment with external validation optional</w:t>
      </w:r>
    </w:p>
    <w:p>
      <w:pPr>
        <w:pStyle w:val="BodyText"/>
      </w:pPr>
      <w:r>
        <w:rPr>
          <w:b/>
        </w:rPr>
        <w:t xml:space="preserve">Interoperability Implication:</w:t>
      </w:r>
      <w:r>
        <w:t xml:space="preserve"> </w:t>
      </w:r>
      <w:r>
        <w:t xml:space="preserve">Developers subject to TRUMP must participate in federal evaluation program in addition to notified body or third-party assessments. Creates</w:t>
      </w:r>
      <w:r>
        <w:t xml:space="preserve"> </w:t>
      </w:r>
      <w:r>
        <w:rPr>
          <w:b/>
        </w:rPr>
        <w:t xml:space="preserve">additional evaluation burden</w:t>
      </w:r>
      <w:r>
        <w:t xml:space="preserve"> </w:t>
      </w:r>
      <w:r>
        <w:t xml:space="preserve">not present in EU-only or NIST-only implementations.</w:t>
      </w:r>
    </w:p>
    <w:p>
      <w:pPr>
        <w:pStyle w:val="BodyText"/>
      </w:pPr>
      <w:r>
        <w:rPr>
          <w:b/>
        </w:rPr>
        <w:t xml:space="preserve">Thesis Contribution:</w:t>
      </w:r>
      <w:r>
        <w:t xml:space="preserve"> </w:t>
      </w:r>
      <w:r>
        <w:t xml:space="preserve">Identifies that TRUMP creates</w:t>
      </w:r>
      <w:r>
        <w:t xml:space="preserve"> </w:t>
      </w:r>
      <w:r>
        <w:rPr>
          <w:b/>
        </w:rPr>
        <w:t xml:space="preserve">new institutional actor</w:t>
      </w:r>
      <w:r>
        <w:t xml:space="preserve"> </w:t>
      </w:r>
      <w:r>
        <w:t xml:space="preserve">(federal laboratories) in AI evaluation ecosystem, requiring interoperability mapping with notified bodies and third-party assessors.</w:t>
      </w:r>
    </w:p>
    <w:p>
      <w:r>
        <w:pict>
          <v:rect style="width:0;height:1.5pt" o:hralign="center" o:hrstd="t" o:hr="t"/>
        </w:pict>
      </w:r>
    </w:p>
    <w:p>
      <w:pPr>
        <w:pStyle w:val="Heading3"/>
      </w:pPr>
      <w:bookmarkStart w:id="106" w:name="Xab9e13256db9d73efff8ce3fc994d3981572587"/>
      <w:r>
        <w:t xml:space="preserve">Finding 3: Liability Burden of Proof Reversal</w:t>
      </w:r>
      <w:bookmarkEnd w:id="106"/>
    </w:p>
    <w:p>
      <w:pPr>
        <w:pStyle w:val="FirstParagraph"/>
      </w:pPr>
      <w:r>
        <w:rPr>
          <w:b/>
        </w:rPr>
        <w:t xml:space="preserve">Significance for Interoperability:</w:t>
      </w:r>
      <w:r>
        <w:t xml:space="preserve"> </w:t>
      </w:r>
      <w:r>
        <w:t xml:space="preserve">- EU: Strict liability with burden on provider to prove compliance</w:t>
      </w:r>
      <w:r>
        <w:t xml:space="preserve"> </w:t>
      </w:r>
      <w:r>
        <w:t xml:space="preserve">- TRUMP: Negligence-based with burden on plaintiff to prove breach</w:t>
      </w:r>
      <w:r>
        <w:t xml:space="preserve"> </w:t>
      </w:r>
      <w:r>
        <w:t xml:space="preserve">- NIST: No liability standard (guidance only)</w:t>
      </w:r>
    </w:p>
    <w:p>
      <w:pPr>
        <w:pStyle w:val="BodyText"/>
      </w:pPr>
      <w:r>
        <w:rPr>
          <w:b/>
        </w:rPr>
        <w:t xml:space="preserve">Critical Divergence:</w:t>
      </w:r>
      <w:r>
        <w:t xml:space="preserve"> </w:t>
      </w:r>
      <w:r>
        <w:t xml:space="preserve">Same harm from same AI system triggers different liability standards across jurisdictions. Developer defending liability must produce:</w:t>
      </w:r>
      <w:r>
        <w:t xml:space="preserve"> </w:t>
      </w:r>
      <w:r>
        <w:t xml:space="preserve">- EU: Evidence of compliance with AI Act requirements (defensive burden)</w:t>
      </w:r>
      <w:r>
        <w:t xml:space="preserve"> </w:t>
      </w:r>
      <w:r>
        <w:t xml:space="preserve">- TRUMP: Evidence of reasonable care in design and adequate warnings (reactive burden)</w:t>
      </w:r>
    </w:p>
    <w:p>
      <w:pPr>
        <w:pStyle w:val="BodyText"/>
      </w:pPr>
      <w:r>
        <w:rPr>
          <w:b/>
        </w:rPr>
        <w:t xml:space="preserve">Interoperability Challenge:</w:t>
      </w:r>
      <w:r>
        <w:t xml:space="preserve"> </w:t>
      </w:r>
      <w:r>
        <w:t xml:space="preserve">Requires developers to maintain</w:t>
      </w:r>
      <w:r>
        <w:t xml:space="preserve"> </w:t>
      </w:r>
      <w:r>
        <w:rPr>
          <w:b/>
        </w:rPr>
        <w:t xml:space="preserve">two liability defense strategies</w:t>
      </w:r>
      <w:r>
        <w:t xml:space="preserve"> </w:t>
      </w:r>
      <w:r>
        <w:t xml:space="preserve">simultaneously with incompatible evidentiary frameworks.</w:t>
      </w:r>
    </w:p>
    <w:p>
      <w:r>
        <w:pict>
          <v:rect style="width:0;height:1.5pt" o:hralign="center" o:hrstd="t" o:hr="t"/>
        </w:pict>
      </w:r>
    </w:p>
    <w:p>
      <w:pPr>
        <w:pStyle w:val="Heading3"/>
      </w:pPr>
      <w:bookmarkStart w:id="107" w:name="X903c174eb5147fabc6df1f7cafdec35505aafa0"/>
      <w:r>
        <w:t xml:space="preserve">Finding 4: Copyright Training Data: Strict Prohibition (TRUMP) vs. Fair Use (EU)</w:t>
      </w:r>
      <w:bookmarkEnd w:id="107"/>
    </w:p>
    <w:p>
      <w:pPr>
        <w:pStyle w:val="FirstParagraph"/>
      </w:pPr>
      <w:r>
        <w:rPr>
          <w:b/>
        </w:rPr>
        <w:t xml:space="preserve">Significance for Interoperability:</w:t>
      </w:r>
      <w:r>
        <w:t xml:space="preserve"> </w:t>
      </w:r>
      <w:r>
        <w:t xml:space="preserve">- EU: Fair use exception permits training on copyrighted works with conditions (Directive 2019/790)</w:t>
      </w:r>
      <w:r>
        <w:t xml:space="preserve"> </w:t>
      </w:r>
      <w:r>
        <w:t xml:space="preserve">- TRUMP: Unauthorized use</w:t>
      </w:r>
      <w:r>
        <w:t xml:space="preserve"> </w:t>
      </w:r>
      <w:r>
        <w:t xml:space="preserve">“</w:t>
      </w:r>
      <w:r>
        <w:t xml:space="preserve">shall not constitute fair use</w:t>
      </w:r>
      <w:r>
        <w:t xml:space="preserve">”</w:t>
      </w:r>
      <w:r>
        <w:t xml:space="preserve">; derivative AI models are infringing</w:t>
      </w:r>
      <w:r>
        <w:t xml:space="preserve"> </w:t>
      </w:r>
      <w:r>
        <w:t xml:space="preserve">- NIST: No position on copyright</w:t>
      </w:r>
    </w:p>
    <w:p>
      <w:pPr>
        <w:pStyle w:val="BodyText"/>
      </w:pPr>
      <w:r>
        <w:rPr>
          <w:b/>
        </w:rPr>
        <w:t xml:space="preserve">Critical Business Impact:</w:t>
      </w:r>
      <w:r>
        <w:t xml:space="preserve"> </w:t>
      </w:r>
      <w:r>
        <w:t xml:space="preserve">Developers cannot use same training dataset for EU and TRUMP-regulated products:</w:t>
      </w:r>
      <w:r>
        <w:t xml:space="preserve"> </w:t>
      </w:r>
      <w:r>
        <w:t xml:space="preserve">- EU deployment: May use copyrighted training data under fair use</w:t>
      </w:r>
      <w:r>
        <w:t xml:space="preserve"> </w:t>
      </w:r>
      <w:r>
        <w:t xml:space="preserve">- TRUMP deployment: Must obtain copyright licenses or use only authorized materials</w:t>
      </w:r>
      <w:r>
        <w:t xml:space="preserve"> </w:t>
      </w:r>
      <w:r>
        <w:t xml:space="preserve">- Divergent training regimes produce</w:t>
      </w:r>
      <w:r>
        <w:t xml:space="preserve"> </w:t>
      </w:r>
      <w:r>
        <w:rPr>
          <w:b/>
        </w:rPr>
        <w:t xml:space="preserve">incompatible model architectures</w:t>
      </w:r>
    </w:p>
    <w:p>
      <w:pPr>
        <w:pStyle w:val="BodyText"/>
      </w:pPr>
      <w:r>
        <w:rPr>
          <w:b/>
        </w:rPr>
        <w:t xml:space="preserve">Thesis Finding:</w:t>
      </w:r>
      <w:r>
        <w:t xml:space="preserve"> </w:t>
      </w:r>
      <w:r>
        <w:t xml:space="preserve">TRUMP Title XV creates most significant</w:t>
      </w:r>
      <w:r>
        <w:t xml:space="preserve"> </w:t>
      </w:r>
      <w:r>
        <w:rPr>
          <w:b/>
        </w:rPr>
        <w:t xml:space="preserve">incompatibility barrier</w:t>
      </w:r>
      <w:r>
        <w:t xml:space="preserve"> </w:t>
      </w:r>
      <w:r>
        <w:t xml:space="preserve">between regimes, as training data restrictions force different model development pipelines for transatlantic deployment.</w:t>
      </w:r>
    </w:p>
    <w:p>
      <w:r>
        <w:pict>
          <v:rect style="width:0;height:1.5pt" o:hralign="center" o:hrstd="t" o:hr="t"/>
        </w:pict>
      </w:r>
    </w:p>
    <w:p>
      <w:pPr>
        <w:pStyle w:val="Heading3"/>
      </w:pPr>
      <w:bookmarkStart w:id="108" w:name="X9cee34cc13600beb7bd793993ee77d11997b588"/>
      <w:r>
        <w:t xml:space="preserve">Finding 5: Content Provenance and Synthetic Content Detection (TRUMP-Specific Domain)</w:t>
      </w:r>
      <w:bookmarkEnd w:id="108"/>
    </w:p>
    <w:p>
      <w:pPr>
        <w:pStyle w:val="FirstParagraph"/>
      </w:pPr>
      <w:r>
        <w:rPr>
          <w:b/>
        </w:rPr>
        <w:t xml:space="preserve">Significance for Interoperability:</w:t>
      </w:r>
      <w:r>
        <w:t xml:space="preserve"> </w:t>
      </w:r>
      <w:r>
        <w:t xml:space="preserve">Title XIV establishes comprehensive U.S.-only regulatory framework for:</w:t>
      </w:r>
      <w:r>
        <w:t xml:space="preserve"> </w:t>
      </w:r>
      <w:r>
        <w:t xml:space="preserve">- Content watermarking and provenance embedding (mandatory Sec. 1405)</w:t>
      </w:r>
      <w:r>
        <w:t xml:space="preserve"> </w:t>
      </w:r>
      <w:r>
        <w:t xml:space="preserve">- Synthetic content detection (NIST-led standards Sec. 1403)</w:t>
      </w:r>
      <w:r>
        <w:t xml:space="preserve"> </w:t>
      </w:r>
      <w:r>
        <w:t xml:space="preserve">- Deepfake protection (private right of action Sec. 1406)</w:t>
      </w:r>
    </w:p>
    <w:p>
      <w:pPr>
        <w:pStyle w:val="BodyText"/>
      </w:pPr>
      <w:r>
        <w:rPr>
          <w:b/>
        </w:rPr>
        <w:t xml:space="preserve">Interoperability Advantage:</w:t>
      </w:r>
      <w:r>
        <w:t xml:space="preserve"> </w:t>
      </w:r>
      <w:r>
        <w:t xml:space="preserve">Unlike other domains requiring transatlantic coordination, Title XIV operates</w:t>
      </w:r>
      <w:r>
        <w:t xml:space="preserve"> </w:t>
      </w:r>
      <w:r>
        <w:rPr>
          <w:b/>
        </w:rPr>
        <w:t xml:space="preserve">without EU equivalent framework</w:t>
      </w:r>
      <w:r>
        <w:t xml:space="preserve">, creating regulatory asymmetry where:</w:t>
      </w:r>
      <w:r>
        <w:t xml:space="preserve"> </w:t>
      </w:r>
      <w:r>
        <w:t xml:space="preserve">- TRUMP requirements apply to all U.S.-deployed generative AI systems</w:t>
      </w:r>
      <w:r>
        <w:t xml:space="preserve"> </w:t>
      </w:r>
      <w:r>
        <w:t xml:space="preserve">- EU requirements for same systems do not include provenance/detection mandates</w:t>
      </w:r>
      <w:r>
        <w:t xml:space="preserve"> </w:t>
      </w:r>
      <w:r>
        <w:t xml:space="preserve">- U.S.-developed content authenticity standards may become</w:t>
      </w:r>
      <w:r>
        <w:t xml:space="preserve"> </w:t>
      </w:r>
      <w:r>
        <w:rPr>
          <w:b/>
        </w:rPr>
        <w:t xml:space="preserve">de facto global standard</w:t>
      </w:r>
      <w:r>
        <w:t xml:space="preserve"> </w:t>
      </w:r>
      <w:r>
        <w:t xml:space="preserve">due to market size</w:t>
      </w:r>
    </w:p>
    <w:p>
      <w:pPr>
        <w:pStyle w:val="BodyText"/>
      </w:pPr>
      <w:r>
        <w:rPr>
          <w:b/>
        </w:rPr>
        <w:t xml:space="preserve">Thesis Finding:</w:t>
      </w:r>
      <w:r>
        <w:t xml:space="preserve"> </w:t>
      </w:r>
      <w:r>
        <w:t xml:space="preserve">Title XIV represents area where TRUMP creates</w:t>
      </w:r>
      <w:r>
        <w:t xml:space="preserve"> </w:t>
      </w:r>
      <w:r>
        <w:rPr>
          <w:b/>
        </w:rPr>
        <w:t xml:space="preserve">unilateral regulatory advantage</w:t>
      </w:r>
      <w:r>
        <w:t xml:space="preserve">, potentially establishing U.S. technical standards for content authenticity detection as global baseline.</w:t>
      </w:r>
    </w:p>
    <w:p>
      <w:r>
        <w:pict>
          <v:rect style="width:0;height:1.5pt" o:hralign="center" o:hrstd="t" o:hr="t"/>
        </w:pict>
      </w:r>
    </w:p>
    <w:p>
      <w:pPr>
        <w:pStyle w:val="Heading3"/>
      </w:pPr>
      <w:bookmarkStart w:id="109" w:name="X50e5410745fb5b1b95234e91291a391b9d2f8f6"/>
      <w:r>
        <w:t xml:space="preserve">Finding 6: Agency Use and</w:t>
      </w:r>
      <w:r>
        <w:t xml:space="preserve"> </w:t>
      </w:r>
      <w:r>
        <w:t xml:space="preserve">“</w:t>
      </w:r>
      <w:r>
        <w:t xml:space="preserve">Unbiased AI Principles</w:t>
      </w:r>
      <w:r>
        <w:t xml:space="preserve">”</w:t>
      </w:r>
      <w:r>
        <w:t xml:space="preserve"> </w:t>
      </w:r>
      <w:r>
        <w:t xml:space="preserve">(TRUMP-Specific Requirement)</w:t>
      </w:r>
      <w:bookmarkEnd w:id="109"/>
    </w:p>
    <w:p>
      <w:pPr>
        <w:pStyle w:val="FirstParagraph"/>
      </w:pPr>
      <w:r>
        <w:rPr>
          <w:b/>
        </w:rPr>
        <w:t xml:space="preserve">Significance for Interoperability:</w:t>
      </w:r>
      <w:r>
        <w:t xml:space="preserve"> </w:t>
      </w:r>
      <w:r>
        <w:t xml:space="preserve">Section 1601 establishes federal procurement requirement for</w:t>
      </w:r>
      <w:r>
        <w:t xml:space="preserve"> </w:t>
      </w:r>
      <w:r>
        <w:t xml:space="preserve">“</w:t>
      </w:r>
      <w:r>
        <w:t xml:space="preserve">unbiased artificial intelligence principles</w:t>
      </w:r>
      <w:r>
        <w:t xml:space="preserve">”</w:t>
      </w:r>
      <w:r>
        <w:t xml:space="preserve"> </w:t>
      </w:r>
      <w:r>
        <w:t xml:space="preserve">with specific definition excluding:</w:t>
      </w:r>
      <w:r>
        <w:t xml:space="preserve"> </w:t>
      </w:r>
      <w:r>
        <w:t xml:space="preserve">- Intentional ideological dogma</w:t>
      </w:r>
      <w:r>
        <w:t xml:space="preserve"> </w:t>
      </w:r>
      <w:r>
        <w:t xml:space="preserve">- Partisan judgments in non-prompted outputs</w:t>
      </w:r>
      <w:r>
        <w:t xml:space="preserve"> </w:t>
      </w:r>
      <w:r>
        <w:t xml:space="preserve">- Diversity/equity/inclusion manipulation</w:t>
      </w:r>
    </w:p>
    <w:p>
      <w:pPr>
        <w:pStyle w:val="BodyText"/>
      </w:pPr>
      <w:r>
        <w:rPr>
          <w:b/>
        </w:rPr>
        <w:t xml:space="preserve">Unique Aspect:</w:t>
      </w:r>
      <w:r>
        <w:t xml:space="preserve"> </w:t>
      </w:r>
      <w:r>
        <w:t xml:space="preserve">Neither EU nor NIST frameworks address ideological bias or partisan content in LLMs. This creates</w:t>
      </w:r>
      <w:r>
        <w:t xml:space="preserve"> </w:t>
      </w:r>
      <w:r>
        <w:rPr>
          <w:b/>
        </w:rPr>
        <w:t xml:space="preserve">values-based regulatory distinction</w:t>
      </w:r>
      <w:r>
        <w:t xml:space="preserve">:</w:t>
      </w:r>
      <w:r>
        <w:t xml:space="preserve"> </w:t>
      </w:r>
      <w:r>
        <w:t xml:space="preserve">- TRUMP: Prohibits ideologically-coded bias in federal procurements</w:t>
      </w:r>
      <w:r>
        <w:t xml:space="preserve"> </w:t>
      </w:r>
      <w:r>
        <w:t xml:space="preserve">- EU: Addresses discrimination but not partisan bias (Articles 10, 15)</w:t>
      </w:r>
      <w:r>
        <w:t xml:space="preserve"> </w:t>
      </w:r>
      <w:r>
        <w:t xml:space="preserve">- NIST: Neutral on values dimension</w:t>
      </w:r>
    </w:p>
    <w:p>
      <w:pPr>
        <w:pStyle w:val="BodyText"/>
      </w:pPr>
      <w:r>
        <w:rPr>
          <w:b/>
        </w:rPr>
        <w:t xml:space="preserve">Interoperability Challenge:</w:t>
      </w:r>
      <w:r>
        <w:t xml:space="preserve"> </w:t>
      </w:r>
      <w:r>
        <w:t xml:space="preserve">Federal agencies cannot use same LLM systems across TRUMP and EU procurements, requiring:</w:t>
      </w:r>
      <w:r>
        <w:t xml:space="preserve"> </w:t>
      </w:r>
      <w:r>
        <w:t xml:space="preserve">- TRUMP-compliant systems (ideologically neutral per Sec. 1601(a)(4))</w:t>
      </w:r>
      <w:r>
        <w:t xml:space="preserve"> </w:t>
      </w:r>
      <w:r>
        <w:t xml:space="preserve">- Potentially EU-compliant systems (non-discriminatory per Article 10)</w:t>
      </w:r>
      <w:r>
        <w:t xml:space="preserve"> </w:t>
      </w:r>
      <w:r>
        <w:t xml:space="preserve">- Different LLM versions for different regulatory environments</w:t>
      </w:r>
    </w:p>
    <w:p>
      <w:r>
        <w:pict>
          <v:rect style="width:0;height:1.5pt" o:hralign="center" o:hrstd="t" o:hr="t"/>
        </w:pict>
      </w:r>
    </w:p>
    <w:p>
      <w:pPr>
        <w:pStyle w:val="Heading3"/>
      </w:pPr>
      <w:bookmarkStart w:id="110" w:name="Xc9a5b8584651323a7efd02ba587c34de7e9513f"/>
      <w:r>
        <w:t xml:space="preserve">Finding 7: Deployer Liability (TRUMP-Specific Extension)</w:t>
      </w:r>
      <w:bookmarkEnd w:id="110"/>
    </w:p>
    <w:p>
      <w:pPr>
        <w:pStyle w:val="FirstParagraph"/>
      </w:pPr>
      <w:r>
        <w:rPr>
          <w:b/>
        </w:rPr>
        <w:t xml:space="preserve">Significance for Interoperability:</w:t>
      </w:r>
      <w:r>
        <w:t xml:space="preserve"> </w:t>
      </w:r>
      <w:r>
        <w:t xml:space="preserve">Section 712 extends liability to deployers for:</w:t>
      </w:r>
      <w:r>
        <w:t xml:space="preserve"> </w:t>
      </w:r>
      <w:r>
        <w:t xml:space="preserve">- Failure to exercise reasonable care in deployment/operation/monitoring</w:t>
      </w:r>
      <w:r>
        <w:t xml:space="preserve"> </w:t>
      </w:r>
      <w:r>
        <w:t xml:space="preserve">- Failure to provide warnings regarding known risks</w:t>
      </w:r>
      <w:r>
        <w:t xml:space="preserve"> </w:t>
      </w:r>
      <w:r>
        <w:t xml:space="preserve">- Failure to maintain governance and audit systems</w:t>
      </w:r>
    </w:p>
    <w:p>
      <w:pPr>
        <w:pStyle w:val="BodyText"/>
      </w:pPr>
      <w:r>
        <w:rPr>
          <w:b/>
        </w:rPr>
        <w:t xml:space="preserve">Distinction from EU and NIST:</w:t>
      </w:r>
      <w:r>
        <w:t xml:space="preserve"> </w:t>
      </w:r>
      <w:r>
        <w:t xml:space="preserve">EU focuses on provider/developer liability; NIST on organizational governance. TRUMP creates</w:t>
      </w:r>
      <w:r>
        <w:t xml:space="preserve"> </w:t>
      </w:r>
      <w:r>
        <w:rPr>
          <w:b/>
        </w:rPr>
        <w:t xml:space="preserve">dual liability chain</w:t>
      </w:r>
      <w:r>
        <w:t xml:space="preserve">:</w:t>
      </w:r>
      <w:r>
        <w:t xml:space="preserve"> </w:t>
      </w:r>
      <w:r>
        <w:t xml:space="preserve">1. Developer liability (Sec. 711): Design, training, testing</w:t>
      </w:r>
      <w:r>
        <w:t xml:space="preserve"> </w:t>
      </w:r>
      <w:r>
        <w:t xml:space="preserve">2. Deployer liability (Sec. 712): Operation, monitoring, warnings</w:t>
      </w:r>
    </w:p>
    <w:p>
      <w:pPr>
        <w:pStyle w:val="BodyText"/>
      </w:pPr>
      <w:r>
        <w:rPr>
          <w:b/>
        </w:rPr>
        <w:t xml:space="preserve">Interoperability Implication:</w:t>
      </w:r>
      <w:r>
        <w:t xml:space="preserve"> </w:t>
      </w:r>
      <w:r>
        <w:t xml:space="preserve">Organizations deploying TRUMP-regulated AI must establish:</w:t>
      </w:r>
      <w:r>
        <w:t xml:space="preserve"> </w:t>
      </w:r>
      <w:r>
        <w:t xml:space="preserve">- Deployer governance (operation, monitoring)</w:t>
      </w:r>
      <w:r>
        <w:t xml:space="preserve"> </w:t>
      </w:r>
      <w:r>
        <w:t xml:space="preserve">- Incident response procedures</w:t>
      </w:r>
      <w:r>
        <w:t xml:space="preserve"> </w:t>
      </w:r>
      <w:r>
        <w:t xml:space="preserve">- Risk communication protocols</w:t>
      </w:r>
      <w:r>
        <w:t xml:space="preserve"> </w:t>
      </w:r>
      <w:r>
        <w:t xml:space="preserve">- Audit and compliance documentation</w:t>
      </w:r>
    </w:p>
    <w:p>
      <w:pPr>
        <w:pStyle w:val="BodyText"/>
      </w:pPr>
      <w:r>
        <w:t xml:space="preserve">Creates</w:t>
      </w:r>
      <w:r>
        <w:t xml:space="preserve"> </w:t>
      </w:r>
      <w:r>
        <w:rPr>
          <w:b/>
        </w:rPr>
        <w:t xml:space="preserve">organizational liability risk</w:t>
      </w:r>
      <w:r>
        <w:t xml:space="preserve"> </w:t>
      </w:r>
      <w:r>
        <w:t xml:space="preserve">not explicitly present in EU or NIST frameworks.</w:t>
      </w:r>
    </w:p>
    <w:p>
      <w:r>
        <w:pict>
          <v:rect style="width:0;height:1.5pt" o:hralign="center" o:hrstd="t" o:hr="t"/>
        </w:pict>
      </w:r>
    </w:p>
    <w:p>
      <w:pPr>
        <w:pStyle w:val="Heading3"/>
      </w:pPr>
      <w:bookmarkStart w:id="111" w:name="X30c769323a9e69ac2f9cce70027922a40432000"/>
      <w:r>
        <w:t xml:space="preserve">Finding 8: NAIRR Infrastructure Creates Asymmetric Access</w:t>
      </w:r>
      <w:bookmarkEnd w:id="111"/>
    </w:p>
    <w:p>
      <w:pPr>
        <w:pStyle w:val="FirstParagraph"/>
      </w:pPr>
      <w:r>
        <w:rPr>
          <w:b/>
        </w:rPr>
        <w:t xml:space="preserve">Significance for Interoperability:</w:t>
      </w:r>
      <w:r>
        <w:t xml:space="preserve"> </w:t>
      </w:r>
      <w:r>
        <w:t xml:space="preserve">Title X-LVI (Sections 1001-5604) establishes National AI Research Resource with:</w:t>
      </w:r>
      <w:r>
        <w:t xml:space="preserve"> </w:t>
      </w:r>
      <w:r>
        <w:t xml:space="preserve">- Federal computational resources</w:t>
      </w:r>
      <w:r>
        <w:t xml:space="preserve"> </w:t>
      </w:r>
      <w:r>
        <w:t xml:space="preserve">- Curated datasets (per Sec. 941)</w:t>
      </w:r>
      <w:r>
        <w:t xml:space="preserve"> </w:t>
      </w:r>
      <w:r>
        <w:t xml:space="preserve">- AI testbeds for evaluation</w:t>
      </w:r>
      <w:r>
        <w:t xml:space="preserve"> </w:t>
      </w:r>
      <w:r>
        <w:t xml:space="preserve">- User eligibility restricted to U.S.-based researchers and affiliated entities</w:t>
      </w:r>
    </w:p>
    <w:p>
      <w:pPr>
        <w:pStyle w:val="BodyText"/>
      </w:pPr>
      <w:r>
        <w:rPr>
          <w:b/>
        </w:rPr>
        <w:t xml:space="preserve">Interoperability Advantage:</w:t>
      </w:r>
      <w:r>
        <w:t xml:space="preserve"> </w:t>
      </w:r>
      <w:r>
        <w:t xml:space="preserve">NAIRR creates</w:t>
      </w:r>
      <w:r>
        <w:t xml:space="preserve"> </w:t>
      </w:r>
      <w:r>
        <w:rPr>
          <w:b/>
        </w:rPr>
        <w:t xml:space="preserve">U.S. researchers’ comparative advantage</w:t>
      </w:r>
      <w:r>
        <w:t xml:space="preserve"> </w:t>
      </w:r>
      <w:r>
        <w:t xml:space="preserve">through subsidized access to:</w:t>
      </w:r>
      <w:r>
        <w:t xml:space="preserve"> </w:t>
      </w:r>
      <w:r>
        <w:t xml:space="preserve">- Computational infrastructure (on-premises, cloud, hybrid)</w:t>
      </w:r>
      <w:r>
        <w:t xml:space="preserve"> </w:t>
      </w:r>
      <w:r>
        <w:t xml:space="preserve">- Standardized datasets</w:t>
      </w:r>
      <w:r>
        <w:t xml:space="preserve"> </w:t>
      </w:r>
      <w:r>
        <w:t xml:space="preserve">- Federal evaluation infrastructure</w:t>
      </w:r>
    </w:p>
    <w:p>
      <w:pPr>
        <w:pStyle w:val="BodyText"/>
      </w:pPr>
      <w:r>
        <w:rPr>
          <w:b/>
        </w:rPr>
        <w:t xml:space="preserve">Thesis Finding:</w:t>
      </w:r>
      <w:r>
        <w:t xml:space="preserve"> </w:t>
      </w:r>
      <w:r>
        <w:t xml:space="preserve">NAIRR represents</w:t>
      </w:r>
      <w:r>
        <w:t xml:space="preserve"> </w:t>
      </w:r>
      <w:r>
        <w:rPr>
          <w:b/>
        </w:rPr>
        <w:t xml:space="preserve">competitive advantage structural component</w:t>
      </w:r>
      <w:r>
        <w:t xml:space="preserve"> </w:t>
      </w:r>
      <w:r>
        <w:t xml:space="preserve">not present in EU or NIST frameworks. Developers with NAIRR access can conduct testing, evaluation, and benchmarking at lower cost than transatlantic competitors.</w:t>
      </w:r>
    </w:p>
    <w:p>
      <w:r>
        <w:pict>
          <v:rect style="width:0;height:1.5pt" o:hralign="center" o:hrstd="t" o:hr="t"/>
        </w:pict>
      </w:r>
    </w:p>
    <w:p>
      <w:pPr>
        <w:pStyle w:val="Heading2"/>
      </w:pPr>
      <w:bookmarkStart w:id="112" w:name="X99a24dc0f897e24e114de621c710e45f736c385"/>
      <w:r>
        <w:t xml:space="preserve">6. GAPS AND OMISSIONS: WHAT TRUMP ACT DOES NOT ADDRESS THAT EU AI ACT DOES</w:t>
      </w:r>
      <w:bookmarkEnd w:id="112"/>
    </w:p>
    <w:p>
      <w:pPr>
        <w:pStyle w:val="Heading3"/>
      </w:pPr>
      <w:bookmarkStart w:id="113" w:name="gap-1-explicit-high-risk-ai-categories"/>
      <w:r>
        <w:t xml:space="preserve">Gap 1: Explicit High-Risk AI Categories</w:t>
      </w:r>
      <w:bookmarkEnd w:id="113"/>
    </w:p>
    <w:p>
      <w:pPr>
        <w:pStyle w:val="FirstParagraph"/>
      </w:pPr>
      <w:r>
        <w:rPr>
          <w:b/>
        </w:rPr>
        <w:t xml:space="preserve">EU AI Act (Annex III):</w:t>
      </w:r>
      <w:r>
        <w:t xml:space="preserve"> </w:t>
      </w:r>
      <w:r>
        <w:t xml:space="preserve">Establishes 16 specific high-risk categories:</w:t>
      </w:r>
      <w:r>
        <w:t xml:space="preserve"> </w:t>
      </w:r>
      <w:r>
        <w:t xml:space="preserve">- Employment decisions</w:t>
      </w:r>
      <w:r>
        <w:t xml:space="preserve"> </w:t>
      </w:r>
      <w:r>
        <w:t xml:space="preserve">- Credit and financial services</w:t>
      </w:r>
      <w:r>
        <w:t xml:space="preserve"> </w:t>
      </w:r>
      <w:r>
        <w:t xml:space="preserve">- Law enforcement</w:t>
      </w:r>
      <w:r>
        <w:t xml:space="preserve"> </w:t>
      </w:r>
      <w:r>
        <w:t xml:space="preserve">- Migration and border control</w:t>
      </w:r>
      <w:r>
        <w:t xml:space="preserve"> </w:t>
      </w:r>
      <w:r>
        <w:t xml:space="preserve">- Education and skills</w:t>
      </w:r>
      <w:r>
        <w:t xml:space="preserve"> </w:t>
      </w:r>
      <w:r>
        <w:t xml:space="preserve">- Healthcare</w:t>
      </w:r>
      <w:r>
        <w:t xml:space="preserve"> </w:t>
      </w:r>
      <w:r>
        <w:t xml:space="preserve">- Critical infrastructure operation</w:t>
      </w:r>
      <w:r>
        <w:t xml:space="preserve"> </w:t>
      </w:r>
      <w:r>
        <w:t xml:space="preserve">- Etc.</w:t>
      </w:r>
    </w:p>
    <w:p>
      <w:pPr>
        <w:pStyle w:val="BodyText"/>
      </w:pPr>
      <w:r>
        <w:rPr>
          <w:b/>
        </w:rPr>
        <w:t xml:space="preserve">TRUMP Act:</w:t>
      </w:r>
      <w:r>
        <w:t xml:space="preserve"> </w:t>
      </w:r>
      <w:r>
        <w:t xml:space="preserve">Identifies covered advanced AI systems via computational threshold and loss-of-control risk, but does NOT establish categorical high-risk application list.</w:t>
      </w:r>
    </w:p>
    <w:p>
      <w:pPr>
        <w:pStyle w:val="BodyText"/>
      </w:pPr>
      <w:r>
        <w:rPr>
          <w:b/>
        </w:rPr>
        <w:t xml:space="preserve">Interoperability Implication:</w:t>
      </w:r>
      <w:r>
        <w:t xml:space="preserve"> </w:t>
      </w:r>
      <w:r>
        <w:t xml:space="preserve">Developers cannot rely on TRUMP to identify high-risk contexts; must independently assess EU categorical risks.</w:t>
      </w:r>
    </w:p>
    <w:p>
      <w:r>
        <w:pict>
          <v:rect style="width:0;height:1.5pt" o:hralign="center" o:hrstd="t" o:hr="t"/>
        </w:pict>
      </w:r>
    </w:p>
    <w:p>
      <w:pPr>
        <w:pStyle w:val="Heading3"/>
      </w:pPr>
      <w:bookmarkStart w:id="114" w:name="X0091f23f979f10c5bcf3320abd6f95d4f64168e"/>
      <w:r>
        <w:t xml:space="preserve">Gap 2: Notified Body and Conformity Assessment Framework</w:t>
      </w:r>
      <w:bookmarkEnd w:id="114"/>
    </w:p>
    <w:p>
      <w:pPr>
        <w:pStyle w:val="FirstParagraph"/>
      </w:pPr>
      <w:r>
        <w:rPr>
          <w:b/>
        </w:rPr>
        <w:t xml:space="preserve">EU AI Act (Articles 6-8, 43-49):</w:t>
      </w:r>
      <w:r>
        <w:t xml:space="preserve"> </w:t>
      </w:r>
      <w:r>
        <w:t xml:space="preserve">Establishes:</w:t>
      </w:r>
      <w:r>
        <w:t xml:space="preserve"> </w:t>
      </w:r>
      <w:r>
        <w:t xml:space="preserve">- Designated notified bodies for conformity assessment of high-risk systems</w:t>
      </w:r>
      <w:r>
        <w:t xml:space="preserve"> </w:t>
      </w:r>
      <w:r>
        <w:t xml:space="preserve">- EU technical documentation requirements</w:t>
      </w:r>
      <w:r>
        <w:t xml:space="preserve"> </w:t>
      </w:r>
      <w:r>
        <w:t xml:space="preserve">- Third-party assessment verification procedures</w:t>
      </w:r>
      <w:r>
        <w:t xml:space="preserve"> </w:t>
      </w:r>
      <w:r>
        <w:t xml:space="preserve">- Competent authority oversight</w:t>
      </w:r>
    </w:p>
    <w:p>
      <w:pPr>
        <w:pStyle w:val="BodyText"/>
      </w:pPr>
      <w:r>
        <w:rPr>
          <w:b/>
        </w:rPr>
        <w:t xml:space="preserve">TRUMP Act:</w:t>
      </w:r>
      <w:r>
        <w:t xml:space="preserve"> </w:t>
      </w:r>
      <w:r>
        <w:t xml:space="preserve">Establishes federal DOE evaluation program but does NOT designate third-party notified body equivalents for ongoing monitoring.</w:t>
      </w:r>
    </w:p>
    <w:p>
      <w:pPr>
        <w:pStyle w:val="BodyText"/>
      </w:pPr>
      <w:r>
        <w:rPr>
          <w:b/>
        </w:rPr>
        <w:t xml:space="preserve">Interoperability Implication:</w:t>
      </w:r>
      <w:r>
        <w:t xml:space="preserve"> </w:t>
      </w:r>
      <w:r>
        <w:t xml:space="preserve">EU notified bodies cannot directly fulfill TRUMP evaluation requirements; separate U.S. federal testing program required.</w:t>
      </w:r>
    </w:p>
    <w:p>
      <w:r>
        <w:pict>
          <v:rect style="width:0;height:1.5pt" o:hralign="center" o:hrstd="t" o:hr="t"/>
        </w:pict>
      </w:r>
    </w:p>
    <w:p>
      <w:pPr>
        <w:pStyle w:val="Heading3"/>
      </w:pPr>
      <w:bookmarkStart w:id="115" w:name="Xeed7b7aed8e86f51698495ad54823cb96ccddb5"/>
      <w:r>
        <w:t xml:space="preserve">Gap 3: Post-Market Monitoring and Surveillance Obligations</w:t>
      </w:r>
      <w:bookmarkEnd w:id="115"/>
    </w:p>
    <w:p>
      <w:pPr>
        <w:pStyle w:val="FirstParagraph"/>
      </w:pPr>
      <w:r>
        <w:rPr>
          <w:b/>
        </w:rPr>
        <w:t xml:space="preserve">EU AI Act (Article 10):</w:t>
      </w:r>
      <w:r>
        <w:t xml:space="preserve"> </w:t>
      </w:r>
      <w:r>
        <w:t xml:space="preserve">High-risk AI systems must undergo:</w:t>
      </w:r>
      <w:r>
        <w:t xml:space="preserve"> </w:t>
      </w:r>
      <w:r>
        <w:t xml:space="preserve">- Post-market monitoring and surveillance</w:t>
      </w:r>
      <w:r>
        <w:t xml:space="preserve"> </w:t>
      </w:r>
      <w:r>
        <w:t xml:space="preserve">- Incident tracking and reporting</w:t>
      </w:r>
      <w:r>
        <w:t xml:space="preserve"> </w:t>
      </w:r>
      <w:r>
        <w:t xml:space="preserve">- Performance monitoring over system lifetime</w:t>
      </w:r>
      <w:r>
        <w:t xml:space="preserve"> </w:t>
      </w:r>
      <w:r>
        <w:t xml:space="preserve">- Data drift and bias detection in operations</w:t>
      </w:r>
    </w:p>
    <w:p>
      <w:pPr>
        <w:pStyle w:val="BodyText"/>
      </w:pPr>
      <w:r>
        <w:rPr>
          <w:b/>
        </w:rPr>
        <w:t xml:space="preserve">TRUMP Act:</w:t>
      </w:r>
      <w:r>
        <w:t xml:space="preserve"> </w:t>
      </w:r>
      <w:r>
        <w:t xml:space="preserve">Implicit via deployer liability (Sec. 712) but NOT explicitly mandated as documented post-market monitoring obligation.</w:t>
      </w:r>
    </w:p>
    <w:p>
      <w:pPr>
        <w:pStyle w:val="BodyText"/>
      </w:pPr>
      <w:r>
        <w:rPr>
          <w:b/>
        </w:rPr>
        <w:t xml:space="preserve">Interoperability Gap:</w:t>
      </w:r>
      <w:r>
        <w:t xml:space="preserve"> </w:t>
      </w:r>
      <w:r>
        <w:t xml:space="preserve">TRUMP deployers have liability incentive for monitoring (Sec. 712) but no explicit post-market surveillance requirement comparable to EU.</w:t>
      </w:r>
    </w:p>
    <w:p>
      <w:r>
        <w:pict>
          <v:rect style="width:0;height:1.5pt" o:hralign="center" o:hrstd="t" o:hr="t"/>
        </w:pict>
      </w:r>
    </w:p>
    <w:p>
      <w:pPr>
        <w:pStyle w:val="Heading3"/>
      </w:pPr>
      <w:bookmarkStart w:id="116" w:name="X172a11486bb739196131abfc5f292864b200fdd"/>
      <w:r>
        <w:t xml:space="preserve">Gap 4: Bias and Discrimination Assessment Standards</w:t>
      </w:r>
      <w:bookmarkEnd w:id="116"/>
    </w:p>
    <w:p>
      <w:pPr>
        <w:pStyle w:val="FirstParagraph"/>
      </w:pPr>
      <w:r>
        <w:rPr>
          <w:b/>
        </w:rPr>
        <w:t xml:space="preserve">EU AI Act (Article 10):</w:t>
      </w:r>
      <w:r>
        <w:t xml:space="preserve"> </w:t>
      </w:r>
      <w:r>
        <w:t xml:space="preserve">Requires:</w:t>
      </w:r>
      <w:r>
        <w:t xml:space="preserve"> </w:t>
      </w:r>
      <w:r>
        <w:t xml:space="preserve">- Assessment for potential discrimination and bias</w:t>
      </w:r>
      <w:r>
        <w:t xml:space="preserve"> </w:t>
      </w:r>
      <w:r>
        <w:t xml:space="preserve">- Bias testing across protected characteristics</w:t>
      </w:r>
      <w:r>
        <w:t xml:space="preserve"> </w:t>
      </w:r>
      <w:r>
        <w:t xml:space="preserve">- Regular bias monitoring during operation</w:t>
      </w:r>
      <w:r>
        <w:t xml:space="preserve"> </w:t>
      </w:r>
      <w:r>
        <w:t xml:space="preserve">- Remediation procedures for identified bias</w:t>
      </w:r>
    </w:p>
    <w:p>
      <w:pPr>
        <w:pStyle w:val="BodyText"/>
      </w:pPr>
      <w:r>
        <w:rPr>
          <w:b/>
        </w:rPr>
        <w:t xml:space="preserve">TRUMP Act:</w:t>
      </w:r>
      <w:r>
        <w:t xml:space="preserve"> </w:t>
      </w:r>
      <w:r>
        <w:t xml:space="preserve">References</w:t>
      </w:r>
      <w:r>
        <w:t xml:space="preserve"> </w:t>
      </w:r>
      <w:r>
        <w:t xml:space="preserve">“</w:t>
      </w:r>
      <w:r>
        <w:t xml:space="preserve">diversity, equity, and inclusion</w:t>
      </w:r>
      <w:r>
        <w:t xml:space="preserve">”</w:t>
      </w:r>
      <w:r>
        <w:t xml:space="preserve"> </w:t>
      </w:r>
      <w:r>
        <w:t xml:space="preserve">in negative framing (Sec. 1601(a)(4)) as prohibited ideological bias, but does NOT establish positive bias/discrimination assessment requirements.</w:t>
      </w:r>
    </w:p>
    <w:p>
      <w:pPr>
        <w:pStyle w:val="BodyText"/>
      </w:pPr>
      <w:r>
        <w:rPr>
          <w:b/>
        </w:rPr>
        <w:t xml:space="preserve">Interoperability Implication:</w:t>
      </w:r>
      <w:r>
        <w:t xml:space="preserve"> </w:t>
      </w:r>
      <w:r>
        <w:t xml:space="preserve">TRUMP does not mandate bias assessment for non-federal systems; creates compliance gap for EU-regulated systems requiring bias testing.</w:t>
      </w:r>
    </w:p>
    <w:p>
      <w:r>
        <w:pict>
          <v:rect style="width:0;height:1.5pt" o:hralign="center" o:hrstd="t" o:hr="t"/>
        </w:pict>
      </w:r>
    </w:p>
    <w:p>
      <w:pPr>
        <w:pStyle w:val="Heading3"/>
      </w:pPr>
      <w:bookmarkStart w:id="117" w:name="gap-5-human-oversight-procedures"/>
      <w:r>
        <w:t xml:space="preserve">Gap 5: Human Oversight Procedures</w:t>
      </w:r>
      <w:bookmarkEnd w:id="117"/>
    </w:p>
    <w:p>
      <w:pPr>
        <w:pStyle w:val="FirstParagraph"/>
      </w:pPr>
      <w:r>
        <w:rPr>
          <w:b/>
        </w:rPr>
        <w:t xml:space="preserve">EU AI Act (Article 10):</w:t>
      </w:r>
      <w:r>
        <w:t xml:space="preserve"> </w:t>
      </w:r>
      <w:r>
        <w:t xml:space="preserve">Requires:</w:t>
      </w:r>
      <w:r>
        <w:t xml:space="preserve"> </w:t>
      </w:r>
      <w:r>
        <w:t xml:space="preserve">- Meaningful human oversight procedures for high-risk AI systems</w:t>
      </w:r>
      <w:r>
        <w:t xml:space="preserve"> </w:t>
      </w:r>
      <w:r>
        <w:t xml:space="preserve">- Human review of AI decisions before implementation</w:t>
      </w:r>
      <w:r>
        <w:t xml:space="preserve"> </w:t>
      </w:r>
      <w:r>
        <w:t xml:space="preserve">- Human ability to override AI determinations</w:t>
      </w:r>
      <w:r>
        <w:t xml:space="preserve"> </w:t>
      </w:r>
      <w:r>
        <w:t xml:space="preserve">- Documentation of human oversight procedures</w:t>
      </w:r>
    </w:p>
    <w:p>
      <w:pPr>
        <w:pStyle w:val="BodyText"/>
      </w:pPr>
      <w:r>
        <w:rPr>
          <w:b/>
        </w:rPr>
        <w:t xml:space="preserve">TRUMP Act:</w:t>
      </w:r>
      <w:r>
        <w:t xml:space="preserve"> </w:t>
      </w:r>
      <w:r>
        <w:t xml:space="preserve">Does NOT explicitly require human oversight procedures in developer or deployer liability frameworks.</w:t>
      </w:r>
    </w:p>
    <w:p>
      <w:pPr>
        <w:pStyle w:val="BodyText"/>
      </w:pPr>
      <w:r>
        <w:rPr>
          <w:b/>
        </w:rPr>
        <w:t xml:space="preserve">Interoperability Gap:</w:t>
      </w:r>
      <w:r>
        <w:t xml:space="preserve"> </w:t>
      </w:r>
      <w:r>
        <w:t xml:space="preserve">TRUMP-compliant systems may lack EU-required human review mechanisms for high-risk decisions.</w:t>
      </w:r>
    </w:p>
    <w:p>
      <w:r>
        <w:pict>
          <v:rect style="width:0;height:1.5pt" o:hralign="center" o:hrstd="t" o:hr="t"/>
        </w:pict>
      </w:r>
    </w:p>
    <w:p>
      <w:pPr>
        <w:pStyle w:val="Heading3"/>
      </w:pPr>
      <w:bookmarkStart w:id="118" w:name="Xf7bfefa06c6eca1012de3f66eecbcacd24870db"/>
      <w:r>
        <w:t xml:space="preserve">Gap 6: Data Governance and Quality Management</w:t>
      </w:r>
      <w:bookmarkEnd w:id="118"/>
    </w:p>
    <w:p>
      <w:pPr>
        <w:pStyle w:val="FirstParagraph"/>
      </w:pPr>
      <w:r>
        <w:rPr>
          <w:b/>
        </w:rPr>
        <w:t xml:space="preserve">EU AI Act (Article 10):</w:t>
      </w:r>
      <w:r>
        <w:t xml:space="preserve"> </w:t>
      </w:r>
      <w:r>
        <w:t xml:space="preserve">Requires:</w:t>
      </w:r>
      <w:r>
        <w:t xml:space="preserve"> </w:t>
      </w:r>
      <w:r>
        <w:t xml:space="preserve">- Training data governance and quality documentation</w:t>
      </w:r>
      <w:r>
        <w:t xml:space="preserve"> </w:t>
      </w:r>
      <w:r>
        <w:t xml:space="preserve">- Data validation procedures</w:t>
      </w:r>
      <w:r>
        <w:t xml:space="preserve"> </w:t>
      </w:r>
      <w:r>
        <w:t xml:space="preserve">- Data bias assessment</w:t>
      </w:r>
      <w:r>
        <w:t xml:space="preserve"> </w:t>
      </w:r>
      <w:r>
        <w:t xml:space="preserve">- Quality assurance metrics for training datasets</w:t>
      </w:r>
    </w:p>
    <w:p>
      <w:pPr>
        <w:pStyle w:val="BodyText"/>
      </w:pPr>
      <w:r>
        <w:rPr>
          <w:b/>
        </w:rPr>
        <w:t xml:space="preserve">TRUMP Act:</w:t>
      </w:r>
      <w:r>
        <w:t xml:space="preserve"> </w:t>
      </w:r>
      <w:r>
        <w:t xml:space="preserve">Copyright restrictions (Sections 1501-1502) address training data sourcing but NOT data governance, validation, or quality management procedures.</w:t>
      </w:r>
    </w:p>
    <w:p>
      <w:pPr>
        <w:pStyle w:val="BodyText"/>
      </w:pPr>
      <w:r>
        <w:rPr>
          <w:b/>
        </w:rPr>
        <w:t xml:space="preserve">Interoperability Gap:</w:t>
      </w:r>
      <w:r>
        <w:t xml:space="preserve"> </w:t>
      </w:r>
      <w:r>
        <w:t xml:space="preserve">TRUMP emphasizes copyright authorization over data quality; EU emphasizes both.</w:t>
      </w:r>
    </w:p>
    <w:p>
      <w:r>
        <w:pict>
          <v:rect style="width:0;height:1.5pt" o:hralign="center" o:hrstd="t" o:hr="t"/>
        </w:pict>
      </w:r>
    </w:p>
    <w:p>
      <w:pPr>
        <w:pStyle w:val="Heading3"/>
      </w:pPr>
      <w:bookmarkStart w:id="119" w:name="X363599f8dce9c73bba326a59efc83f22b896156"/>
      <w:r>
        <w:t xml:space="preserve">Gap 7: Regulatory Sandboxes and Innovation Support</w:t>
      </w:r>
      <w:bookmarkEnd w:id="119"/>
    </w:p>
    <w:p>
      <w:pPr>
        <w:pStyle w:val="FirstParagraph"/>
      </w:pPr>
      <w:r>
        <w:rPr>
          <w:b/>
        </w:rPr>
        <w:t xml:space="preserve">EU AI Act (Article 53):</w:t>
      </w:r>
      <w:r>
        <w:t xml:space="preserve"> </w:t>
      </w:r>
      <w:r>
        <w:t xml:space="preserve">Member states may establish regulatory sandboxes for:</w:t>
      </w:r>
      <w:r>
        <w:t xml:space="preserve"> </w:t>
      </w:r>
      <w:r>
        <w:t xml:space="preserve">- Controlled testing of innovative AI systems</w:t>
      </w:r>
      <w:r>
        <w:t xml:space="preserve"> </w:t>
      </w:r>
      <w:r>
        <w:t xml:space="preserve">- Regulatory experimentation with oversight</w:t>
      </w:r>
      <w:r>
        <w:t xml:space="preserve"> </w:t>
      </w:r>
      <w:r>
        <w:t xml:space="preserve">- Relief from certain compliance requirements during testing</w:t>
      </w:r>
    </w:p>
    <w:p>
      <w:pPr>
        <w:pStyle w:val="BodyText"/>
      </w:pPr>
      <w:r>
        <w:rPr>
          <w:b/>
        </w:rPr>
        <w:t xml:space="preserve">TRUMP Act:</w:t>
      </w:r>
      <w:r>
        <w:t xml:space="preserve"> </w:t>
      </w:r>
      <w:r>
        <w:t xml:space="preserve">Supports innovation through grand challenges (Sec. 942) and NAIRR access (Title X-LVI) but does NOT establish regulatory sandbox framework with testing exemptions.</w:t>
      </w:r>
    </w:p>
    <w:p>
      <w:pPr>
        <w:pStyle w:val="BodyText"/>
      </w:pPr>
      <w:r>
        <w:rPr>
          <w:b/>
        </w:rPr>
        <w:t xml:space="preserve">Interoperability Implication:</w:t>
      </w:r>
      <w:r>
        <w:t xml:space="preserve"> </w:t>
      </w:r>
      <w:r>
        <w:t xml:space="preserve">EU-regulated systems may benefit from sandbox testing exemptions unavailable in TRUMP framework.</w:t>
      </w:r>
    </w:p>
    <w:p>
      <w:r>
        <w:pict>
          <v:rect style="width:0;height:1.5pt" o:hralign="center" o:hrstd="t" o:hr="t"/>
        </w:pict>
      </w:r>
    </w:p>
    <w:p>
      <w:pPr>
        <w:pStyle w:val="Heading3"/>
      </w:pPr>
      <w:bookmarkStart w:id="120" w:name="X44af472834d46493614c4479365f7637ff91df4"/>
      <w:r>
        <w:t xml:space="preserve">Gap 8: Algorithmic Transparency and Explainability (Soft Requirement)</w:t>
      </w:r>
      <w:bookmarkEnd w:id="120"/>
    </w:p>
    <w:p>
      <w:pPr>
        <w:pStyle w:val="FirstParagraph"/>
      </w:pPr>
      <w:r>
        <w:rPr>
          <w:b/>
        </w:rPr>
        <w:t xml:space="preserve">EU AI Act (Article 13):</w:t>
      </w:r>
      <w:r>
        <w:t xml:space="preserve"> </w:t>
      </w:r>
      <w:r>
        <w:t xml:space="preserve">Requires transparency regarding:</w:t>
      </w:r>
      <w:r>
        <w:t xml:space="preserve"> </w:t>
      </w:r>
      <w:r>
        <w:t xml:space="preserve">- High-risk AI system functionality</w:t>
      </w:r>
      <w:r>
        <w:t xml:space="preserve"> </w:t>
      </w:r>
      <w:r>
        <w:t xml:space="preserve">- How AI reaches decisions</w:t>
      </w:r>
      <w:r>
        <w:t xml:space="preserve"> </w:t>
      </w:r>
      <w:r>
        <w:t xml:space="preserve">- Human-interpretable explanations of AI outputs</w:t>
      </w:r>
      <w:r>
        <w:t xml:space="preserve"> </w:t>
      </w:r>
      <w:r>
        <w:t xml:space="preserve">- User awareness of AI interaction</w:t>
      </w:r>
    </w:p>
    <w:p>
      <w:pPr>
        <w:pStyle w:val="BodyText"/>
      </w:pPr>
      <w:r>
        <w:rPr>
          <w:b/>
        </w:rPr>
        <w:t xml:space="preserve">TRUMP Act:</w:t>
      </w:r>
      <w:r>
        <w:t xml:space="preserve"> </w:t>
      </w:r>
      <w:r>
        <w:t xml:space="preserve">Incentivizes explainability through federal grand challenges (Sec. 942) and requires disclosure for federal procurements (Sec. 1601(c)), but does NOT mandate explainability for non-federal systems.</w:t>
      </w:r>
    </w:p>
    <w:p>
      <w:pPr>
        <w:pStyle w:val="BodyText"/>
      </w:pPr>
      <w:r>
        <w:rPr>
          <w:b/>
        </w:rPr>
        <w:t xml:space="preserve">Interoperability Gap:</w:t>
      </w:r>
      <w:r>
        <w:t xml:space="preserve"> </w:t>
      </w:r>
      <w:r>
        <w:t xml:space="preserve">Commercial TRUMP-regulated systems need not meet EU Article 13 transparency standards unless also EU-regulated.</w:t>
      </w:r>
    </w:p>
    <w:p>
      <w:r>
        <w:pict>
          <v:rect style="width:0;height:1.5pt" o:hralign="center" o:hrstd="t" o:hr="t"/>
        </w:pict>
      </w:r>
    </w:p>
    <w:p>
      <w:pPr>
        <w:pStyle w:val="Heading3"/>
      </w:pPr>
      <w:bookmarkStart w:id="121" w:name="gap-9-user-rights-and-appeal-procedures"/>
      <w:r>
        <w:t xml:space="preserve">Gap 9: User Rights and Appeal Procedures</w:t>
      </w:r>
      <w:bookmarkEnd w:id="121"/>
    </w:p>
    <w:p>
      <w:pPr>
        <w:pStyle w:val="FirstParagraph"/>
      </w:pPr>
      <w:r>
        <w:rPr>
          <w:b/>
        </w:rPr>
        <w:t xml:space="preserve">EU AI Act (Article 15):</w:t>
      </w:r>
      <w:r>
        <w:t xml:space="preserve"> </w:t>
      </w:r>
      <w:r>
        <w:t xml:space="preserve">Establishes user rights:</w:t>
      </w:r>
      <w:r>
        <w:t xml:space="preserve"> </w:t>
      </w:r>
      <w:r>
        <w:t xml:space="preserve">- Right to request explanation of AI decision</w:t>
      </w:r>
      <w:r>
        <w:t xml:space="preserve"> </w:t>
      </w:r>
      <w:r>
        <w:t xml:space="preserve">- Right to appeal AI decision</w:t>
      </w:r>
      <w:r>
        <w:t xml:space="preserve"> </w:t>
      </w:r>
      <w:r>
        <w:t xml:space="preserve">- Meaningful information about decision-making process</w:t>
      </w:r>
      <w:r>
        <w:t xml:space="preserve"> </w:t>
      </w:r>
      <w:r>
        <w:t xml:space="preserve">- Effective remedy procedures</w:t>
      </w:r>
    </w:p>
    <w:p>
      <w:pPr>
        <w:pStyle w:val="BodyText"/>
      </w:pPr>
      <w:r>
        <w:rPr>
          <w:b/>
        </w:rPr>
        <w:t xml:space="preserve">TRUMP Act:</w:t>
      </w:r>
      <w:r>
        <w:t xml:space="preserve"> </w:t>
      </w:r>
      <w:r>
        <w:t xml:space="preserve">Does NOT establish user rights framework; deployer liability (Sec. 712) requires warnings but NOT appeal procedures.</w:t>
      </w:r>
    </w:p>
    <w:p>
      <w:pPr>
        <w:pStyle w:val="BodyText"/>
      </w:pPr>
      <w:r>
        <w:rPr>
          <w:b/>
        </w:rPr>
        <w:t xml:space="preserve">Interoperability Gap:</w:t>
      </w:r>
      <w:r>
        <w:t xml:space="preserve"> </w:t>
      </w:r>
      <w:r>
        <w:t xml:space="preserve">TRUMP systems need not provide user appeal mechanisms required by EU.</w:t>
      </w:r>
    </w:p>
    <w:p>
      <w:r>
        <w:pict>
          <v:rect style="width:0;height:1.5pt" o:hralign="center" o:hrstd="t" o:hr="t"/>
        </w:pict>
      </w:r>
    </w:p>
    <w:p>
      <w:pPr>
        <w:pStyle w:val="Heading3"/>
      </w:pPr>
      <w:bookmarkStart w:id="122" w:name="X69cc61dc08768d323cf1b07549332a94dd05042"/>
      <w:r>
        <w:t xml:space="preserve">Gap 10: Incident Reporting and Serious Adverse Event Tracking</w:t>
      </w:r>
      <w:bookmarkEnd w:id="122"/>
    </w:p>
    <w:p>
      <w:pPr>
        <w:pStyle w:val="FirstParagraph"/>
      </w:pPr>
      <w:r>
        <w:rPr>
          <w:b/>
        </w:rPr>
        <w:t xml:space="preserve">EU AI Act (Article 21, amended by AI Act):</w:t>
      </w:r>
      <w:r>
        <w:t xml:space="preserve"> </w:t>
      </w:r>
      <w:r>
        <w:t xml:space="preserve">Requires:</w:t>
      </w:r>
      <w:r>
        <w:t xml:space="preserve"> </w:t>
      </w:r>
      <w:r>
        <w:t xml:space="preserve">- Serious adverse event reporting to competent authorities</w:t>
      </w:r>
      <w:r>
        <w:t xml:space="preserve"> </w:t>
      </w:r>
      <w:r>
        <w:t xml:space="preserve">- Incident tracking and analysis</w:t>
      </w:r>
      <w:r>
        <w:t xml:space="preserve"> </w:t>
      </w:r>
      <w:r>
        <w:t xml:space="preserve">- Root cause investigation procedures</w:t>
      </w:r>
      <w:r>
        <w:t xml:space="preserve"> </w:t>
      </w:r>
      <w:r>
        <w:t xml:space="preserve">- Remediation and disclosure requirements</w:t>
      </w:r>
    </w:p>
    <w:p>
      <w:pPr>
        <w:pStyle w:val="BodyText"/>
      </w:pPr>
      <w:r>
        <w:rPr>
          <w:b/>
        </w:rPr>
        <w:t xml:space="preserve">TRUMP Act:</w:t>
      </w:r>
      <w:r>
        <w:t xml:space="preserve"> </w:t>
      </w:r>
      <w:r>
        <w:t xml:space="preserve">Implicit via developer/deployer liability but NOT explicit serious adverse event reporting requirement to federal authorities.</w:t>
      </w:r>
    </w:p>
    <w:p>
      <w:pPr>
        <w:pStyle w:val="BodyText"/>
      </w:pPr>
      <w:r>
        <w:rPr>
          <w:b/>
        </w:rPr>
        <w:t xml:space="preserve">Interoperability Gap:</w:t>
      </w:r>
      <w:r>
        <w:t xml:space="preserve"> </w:t>
      </w:r>
      <w:r>
        <w:t xml:space="preserve">TRUMP does not establish federal incident database equivalent to EU competent authority reporting requirements.</w:t>
      </w:r>
    </w:p>
    <w:p>
      <w:r>
        <w:pict>
          <v:rect style="width:0;height:1.5pt" o:hralign="center" o:hrstd="t" o:hr="t"/>
        </w:pict>
      </w:r>
    </w:p>
    <w:p>
      <w:pPr>
        <w:pStyle w:val="Heading2"/>
      </w:pPr>
      <w:bookmarkStart w:id="123" w:name="X04f556131a39bc98a914921ca0aaff24e40ef8f"/>
      <w:r>
        <w:t xml:space="preserve">7. SYNTHESIS: INTEROPERABILITY FRAMEWORK FOR EU AI ACT AND NIST AI RMF IN TRUMP ACT CONTEXT</w:t>
      </w:r>
      <w:bookmarkEnd w:id="123"/>
    </w:p>
    <w:p>
      <w:pPr>
        <w:pStyle w:val="Heading3"/>
      </w:pPr>
      <w:bookmarkStart w:id="124" w:name="X8bd2f0e249824e8eab1b1541e21cbfaa73d0d03"/>
      <w:r>
        <w:t xml:space="preserve">7.1 Transatlantic AI Development Compliance Strategy</w:t>
      </w:r>
      <w:bookmarkEnd w:id="124"/>
    </w:p>
    <w:p>
      <w:pPr>
        <w:pStyle w:val="FirstParagraph"/>
      </w:pPr>
      <w:r>
        <w:rPr>
          <w:b/>
        </w:rPr>
        <w:t xml:space="preserve">For organizations developing AI systems for both EU and TRUMP-regulated markets:</w:t>
      </w:r>
    </w:p>
    <w:p>
      <w:pPr>
        <w:pStyle w:val="BodyText"/>
      </w:pPr>
      <w:r>
        <w:rPr>
          <w:b/>
        </w:rPr>
        <w:t xml:space="preserve">Phase 1: Regulatory Assessment (Pre-Development)</w:t>
      </w:r>
      <w:r>
        <w:t xml:space="preserve"> </w:t>
      </w:r>
      <w:r>
        <w:t xml:space="preserve">1. Determine if system triggers TRUMP</w:t>
      </w:r>
      <w:r>
        <w:t xml:space="preserve"> </w:t>
      </w:r>
      <w:r>
        <w:t xml:space="preserve">“</w:t>
      </w:r>
      <w:r>
        <w:t xml:space="preserve">covered advanced AI system</w:t>
      </w:r>
      <w:r>
        <w:t xml:space="preserve">”</w:t>
      </w:r>
      <w:r>
        <w:t xml:space="preserve"> </w:t>
      </w:r>
      <w:r>
        <w:t xml:space="preserve">computational threshold</w:t>
      </w:r>
      <w:r>
        <w:t xml:space="preserve"> </w:t>
      </w:r>
      <w:r>
        <w:t xml:space="preserve">2. Identify EU high-risk categories (Annex III) if applicable</w:t>
      </w:r>
      <w:r>
        <w:t xml:space="preserve"> </w:t>
      </w:r>
      <w:r>
        <w:t xml:space="preserve">3. Assess NIST AI RMF applicability (foundational for all organizations)</w:t>
      </w:r>
      <w:r>
        <w:t xml:space="preserve"> </w:t>
      </w:r>
      <w:r>
        <w:t xml:space="preserve">4. Determine copyright training data constraints (TRUMP restrictions apply)</w:t>
      </w:r>
    </w:p>
    <w:p>
      <w:pPr>
        <w:pStyle w:val="BodyText"/>
      </w:pPr>
      <w:r>
        <w:rPr>
          <w:b/>
        </w:rPr>
        <w:t xml:space="preserve">Phase 2: Development (Design and Training)</w:t>
      </w:r>
      <w:r>
        <w:t xml:space="preserve"> </w:t>
      </w:r>
      <w:r>
        <w:t xml:space="preserve">1.</w:t>
      </w:r>
      <w:r>
        <w:t xml:space="preserve"> </w:t>
      </w:r>
      <w:r>
        <w:rPr>
          <w:b/>
        </w:rPr>
        <w:t xml:space="preserve">Dual Liability Defense Preparation:</w:t>
      </w:r>
      <w:r>
        <w:t xml:space="preserve"> </w:t>
      </w:r>
      <w:r>
        <w:t xml:space="preserve">- TRUMP: Design for reasonable care (Sec. 711) with documented design alternatives</w:t>
      </w:r>
      <w:r>
        <w:t xml:space="preserve"> </w:t>
      </w:r>
      <w:r>
        <w:t xml:space="preserve">- EU: Design for high-risk compliance (Articles 10, 15) with governance documentation</w:t>
      </w:r>
      <w:r>
        <w:t xml:space="preserve"> </w:t>
      </w:r>
      <w:r>
        <w:t xml:space="preserve">- Document both defensive positions simultaneously</w:t>
      </w:r>
    </w:p>
    <w:p>
      <w:pPr>
        <w:numPr>
          <w:ilvl w:val="0"/>
          <w:numId w:val="1007"/>
        </w:numPr>
        <w:pStyle w:val="Compact"/>
      </w:pPr>
      <w:r>
        <w:rPr>
          <w:b/>
        </w:rPr>
        <w:t xml:space="preserve">Training Data Management:</w:t>
      </w:r>
    </w:p>
    <w:p>
      <w:pPr>
        <w:numPr>
          <w:ilvl w:val="1"/>
          <w:numId w:val="1008"/>
        </w:numPr>
        <w:pStyle w:val="Compact"/>
      </w:pPr>
      <w:r>
        <w:t xml:space="preserve">TRUMP: Maintain authorization records for all copyrighted training data</w:t>
      </w:r>
    </w:p>
    <w:p>
      <w:pPr>
        <w:numPr>
          <w:ilvl w:val="1"/>
          <w:numId w:val="1008"/>
        </w:numPr>
        <w:pStyle w:val="Compact"/>
      </w:pPr>
      <w:r>
        <w:t xml:space="preserve">EU: Maintain data quality documentation and bias assessment records</w:t>
      </w:r>
    </w:p>
    <w:p>
      <w:pPr>
        <w:numPr>
          <w:ilvl w:val="1"/>
          <w:numId w:val="1008"/>
        </w:numPr>
        <w:pStyle w:val="Compact"/>
      </w:pPr>
      <w:r>
        <w:t xml:space="preserve">Separate training pipeline if datasets diverge</w:t>
      </w:r>
    </w:p>
    <w:p>
      <w:pPr>
        <w:numPr>
          <w:ilvl w:val="0"/>
          <w:numId w:val="1007"/>
        </w:numPr>
        <w:pStyle w:val="Compact"/>
      </w:pPr>
      <w:r>
        <w:rPr>
          <w:b/>
        </w:rPr>
        <w:t xml:space="preserve">Governance Implementation:</w:t>
      </w:r>
    </w:p>
    <w:p>
      <w:pPr>
        <w:numPr>
          <w:ilvl w:val="1"/>
          <w:numId w:val="1009"/>
        </w:numPr>
        <w:pStyle w:val="Compact"/>
      </w:pPr>
      <w:r>
        <w:t xml:space="preserve">TRUMP: Computational resource monitoring (Sec. 602)</w:t>
      </w:r>
    </w:p>
    <w:p>
      <w:pPr>
        <w:numPr>
          <w:ilvl w:val="1"/>
          <w:numId w:val="1009"/>
        </w:numPr>
        <w:pStyle w:val="Compact"/>
      </w:pPr>
      <w:r>
        <w:t xml:space="preserve">EU: Risk management system per Article 10</w:t>
      </w:r>
    </w:p>
    <w:p>
      <w:pPr>
        <w:numPr>
          <w:ilvl w:val="1"/>
          <w:numId w:val="1009"/>
        </w:numPr>
        <w:pStyle w:val="Compact"/>
      </w:pPr>
      <w:r>
        <w:t xml:space="preserve">NIST: Foundational Govern function across both</w:t>
      </w:r>
    </w:p>
    <w:p>
      <w:pPr>
        <w:pStyle w:val="FirstParagraph"/>
      </w:pPr>
      <w:r>
        <w:rPr>
          <w:b/>
        </w:rPr>
        <w:t xml:space="preserve">Phase 3: Testing and Evaluation (Pre-Deployment)</w:t>
      </w:r>
      <w:r>
        <w:t xml:space="preserve"> </w:t>
      </w:r>
      <w:r>
        <w:t xml:space="preserve">1.</w:t>
      </w:r>
      <w:r>
        <w:t xml:space="preserve"> </w:t>
      </w:r>
      <w:r>
        <w:rPr>
          <w:b/>
        </w:rPr>
        <w:t xml:space="preserve">TRUMP Requirements:</w:t>
      </w:r>
      <w:r>
        <w:t xml:space="preserve"> </w:t>
      </w:r>
      <w:r>
        <w:t xml:space="preserve">- Participate in DOE federal evaluation program (Sec. 603)</w:t>
      </w:r>
      <w:r>
        <w:t xml:space="preserve"> </w:t>
      </w:r>
      <w:r>
        <w:t xml:space="preserve">- Conduct red-team adversarial testing (Sec. 602)</w:t>
      </w:r>
      <w:r>
        <w:t xml:space="preserve"> </w:t>
      </w:r>
      <w:r>
        <w:t xml:space="preserve">- Obtain blind model evaluation results</w:t>
      </w:r>
      <w:r>
        <w:t xml:space="preserve"> </w:t>
      </w:r>
      <w:r>
        <w:t xml:space="preserve">- Generate formal testing reports</w:t>
      </w:r>
      <w:r>
        <w:t xml:space="preserve"> </w:t>
      </w:r>
      <w:r>
        <w:t xml:space="preserve">- Implement containment protocols</w:t>
      </w:r>
    </w:p>
    <w:p>
      <w:pPr>
        <w:numPr>
          <w:ilvl w:val="0"/>
          <w:numId w:val="1010"/>
        </w:numPr>
        <w:pStyle w:val="Compact"/>
      </w:pPr>
      <w:r>
        <w:rPr>
          <w:b/>
        </w:rPr>
        <w:t xml:space="preserve">EU Requirements:</w:t>
      </w:r>
    </w:p>
    <w:p>
      <w:pPr>
        <w:numPr>
          <w:ilvl w:val="1"/>
          <w:numId w:val="1011"/>
        </w:numPr>
        <w:pStyle w:val="Compact"/>
      </w:pPr>
      <w:r>
        <w:t xml:space="preserve">Obtain notified body conformity assessment for high-risk systems</w:t>
      </w:r>
    </w:p>
    <w:p>
      <w:pPr>
        <w:numPr>
          <w:ilvl w:val="1"/>
          <w:numId w:val="1011"/>
        </w:numPr>
        <w:pStyle w:val="Compact"/>
      </w:pPr>
      <w:r>
        <w:t xml:space="preserve">Conduct bias testing per Article 10</w:t>
      </w:r>
    </w:p>
    <w:p>
      <w:pPr>
        <w:numPr>
          <w:ilvl w:val="1"/>
          <w:numId w:val="1011"/>
        </w:numPr>
        <w:pStyle w:val="Compact"/>
      </w:pPr>
      <w:r>
        <w:t xml:space="preserve">Perform data quality validation</w:t>
      </w:r>
    </w:p>
    <w:p>
      <w:pPr>
        <w:numPr>
          <w:ilvl w:val="1"/>
          <w:numId w:val="1011"/>
        </w:numPr>
        <w:pStyle w:val="Compact"/>
      </w:pPr>
      <w:r>
        <w:t xml:space="preserve">Prepare human oversight documentation</w:t>
      </w:r>
    </w:p>
    <w:p>
      <w:pPr>
        <w:numPr>
          <w:ilvl w:val="0"/>
          <w:numId w:val="1010"/>
        </w:numPr>
        <w:pStyle w:val="Compact"/>
      </w:pPr>
      <w:r>
        <w:rPr>
          <w:b/>
        </w:rPr>
        <w:t xml:space="preserve">NIST Framework:</w:t>
      </w:r>
    </w:p>
    <w:p>
      <w:pPr>
        <w:numPr>
          <w:ilvl w:val="1"/>
          <w:numId w:val="1012"/>
        </w:numPr>
        <w:pStyle w:val="Compact"/>
      </w:pPr>
      <w:r>
        <w:t xml:space="preserve">Map capabilities against AI RMF functions (Govern, Map, Measure, Manage)</w:t>
      </w:r>
    </w:p>
    <w:p>
      <w:pPr>
        <w:numPr>
          <w:ilvl w:val="1"/>
          <w:numId w:val="1012"/>
        </w:numPr>
        <w:pStyle w:val="Compact"/>
      </w:pPr>
      <w:r>
        <w:t xml:space="preserve">Document risk assessment results</w:t>
      </w:r>
    </w:p>
    <w:p>
      <w:pPr>
        <w:numPr>
          <w:ilvl w:val="1"/>
          <w:numId w:val="1012"/>
        </w:numPr>
        <w:pStyle w:val="Compact"/>
      </w:pPr>
      <w:r>
        <w:t xml:space="preserve">Establish performance benchmarking</w:t>
      </w:r>
    </w:p>
    <w:p>
      <w:pPr>
        <w:pStyle w:val="FirstParagraph"/>
      </w:pPr>
      <w:r>
        <w:rPr>
          <w:b/>
        </w:rPr>
        <w:t xml:space="preserve">Phase 4: Content and Copyright Compliance</w:t>
      </w:r>
      <w:r>
        <w:t xml:space="preserve"> </w:t>
      </w:r>
      <w:r>
        <w:t xml:space="preserve">1.</w:t>
      </w:r>
      <w:r>
        <w:t xml:space="preserve"> </w:t>
      </w:r>
      <w:r>
        <w:rPr>
          <w:b/>
        </w:rPr>
        <w:t xml:space="preserve">TRUMP Title XIV/XV:</w:t>
      </w:r>
      <w:r>
        <w:t xml:space="preserve"> </w:t>
      </w:r>
      <w:r>
        <w:t xml:space="preserve">- Implement content provenance embedding (Sec. 1405)</w:t>
      </w:r>
      <w:r>
        <w:t xml:space="preserve"> </w:t>
      </w:r>
      <w:r>
        <w:t xml:space="preserve">- Obtain watermarking standards compliance</w:t>
      </w:r>
      <w:r>
        <w:t xml:space="preserve"> </w:t>
      </w:r>
      <w:r>
        <w:t xml:space="preserve">- Prepare synthetic content detection capability</w:t>
      </w:r>
      <w:r>
        <w:t xml:space="preserve"> </w:t>
      </w:r>
      <w:r>
        <w:t xml:space="preserve">- Ensure copyright training data authorization (Sec. 1501)</w:t>
      </w:r>
    </w:p>
    <w:p>
      <w:pPr>
        <w:numPr>
          <w:ilvl w:val="0"/>
          <w:numId w:val="1013"/>
        </w:numPr>
        <w:pStyle w:val="Compact"/>
      </w:pPr>
      <w:r>
        <w:rPr>
          <w:b/>
        </w:rPr>
        <w:t xml:space="preserve">EU Approach:</w:t>
      </w:r>
    </w:p>
    <w:p>
      <w:pPr>
        <w:numPr>
          <w:ilvl w:val="1"/>
          <w:numId w:val="1014"/>
        </w:numPr>
        <w:pStyle w:val="Compact"/>
      </w:pPr>
      <w:r>
        <w:t xml:space="preserve">Transparency regarding training data use (Articles 6, 15)</w:t>
      </w:r>
    </w:p>
    <w:p>
      <w:pPr>
        <w:numPr>
          <w:ilvl w:val="1"/>
          <w:numId w:val="1014"/>
        </w:numPr>
        <w:pStyle w:val="Compact"/>
      </w:pPr>
      <w:r>
        <w:t xml:space="preserve">Fairness and non-discrimination assurance</w:t>
      </w:r>
    </w:p>
    <w:p>
      <w:pPr>
        <w:numPr>
          <w:ilvl w:val="1"/>
          <w:numId w:val="1014"/>
        </w:numPr>
        <w:pStyle w:val="Compact"/>
      </w:pPr>
      <w:r>
        <w:t xml:space="preserve">No explicit copyright training restriction</w:t>
      </w:r>
    </w:p>
    <w:p>
      <w:pPr>
        <w:pStyle w:val="FirstParagraph"/>
      </w:pPr>
      <w:r>
        <w:rPr>
          <w:b/>
        </w:rPr>
        <w:t xml:space="preserve">Phase 5: Deployment and Operations</w:t>
      </w:r>
      <w:r>
        <w:t xml:space="preserve"> </w:t>
      </w:r>
      <w:r>
        <w:t xml:space="preserve">1.</w:t>
      </w:r>
      <w:r>
        <w:t xml:space="preserve"> </w:t>
      </w:r>
      <w:r>
        <w:rPr>
          <w:b/>
        </w:rPr>
        <w:t xml:space="preserve">TRUMP Deployer Liability (Sec. 712):</w:t>
      </w:r>
      <w:r>
        <w:t xml:space="preserve"> </w:t>
      </w:r>
      <w:r>
        <w:t xml:space="preserve">- Establish governance frameworks for operation and monitoring</w:t>
      </w:r>
      <w:r>
        <w:t xml:space="preserve"> </w:t>
      </w:r>
      <w:r>
        <w:t xml:space="preserve">- Implement incident tracking procedures</w:t>
      </w:r>
      <w:r>
        <w:t xml:space="preserve"> </w:t>
      </w:r>
      <w:r>
        <w:t xml:space="preserve">- Prepare risk communication and warning materials</w:t>
      </w:r>
      <w:r>
        <w:t xml:space="preserve"> </w:t>
      </w:r>
      <w:r>
        <w:t xml:space="preserve">- Document audit and compliance procedures</w:t>
      </w:r>
    </w:p>
    <w:p>
      <w:pPr>
        <w:numPr>
          <w:ilvl w:val="0"/>
          <w:numId w:val="1015"/>
        </w:numPr>
        <w:pStyle w:val="Compact"/>
      </w:pPr>
      <w:r>
        <w:rPr>
          <w:b/>
        </w:rPr>
        <w:t xml:space="preserve">EU Post-Market Monitoring:</w:t>
      </w:r>
    </w:p>
    <w:p>
      <w:pPr>
        <w:numPr>
          <w:ilvl w:val="1"/>
          <w:numId w:val="1016"/>
        </w:numPr>
        <w:pStyle w:val="Compact"/>
      </w:pPr>
      <w:r>
        <w:t xml:space="preserve">Implement post-market surveillance system</w:t>
      </w:r>
    </w:p>
    <w:p>
      <w:pPr>
        <w:numPr>
          <w:ilvl w:val="1"/>
          <w:numId w:val="1016"/>
        </w:numPr>
        <w:pStyle w:val="Compact"/>
      </w:pPr>
      <w:r>
        <w:t xml:space="preserve">Track performance drift and bias</w:t>
      </w:r>
    </w:p>
    <w:p>
      <w:pPr>
        <w:numPr>
          <w:ilvl w:val="1"/>
          <w:numId w:val="1016"/>
        </w:numPr>
        <w:pStyle w:val="Compact"/>
      </w:pPr>
      <w:r>
        <w:t xml:space="preserve">Report serious adverse events to competent authorities</w:t>
      </w:r>
    </w:p>
    <w:p>
      <w:pPr>
        <w:numPr>
          <w:ilvl w:val="1"/>
          <w:numId w:val="1016"/>
        </w:numPr>
        <w:pStyle w:val="Compact"/>
      </w:pPr>
      <w:r>
        <w:t xml:space="preserve">Maintain incident documentation</w:t>
      </w:r>
    </w:p>
    <w:p>
      <w:pPr>
        <w:numPr>
          <w:ilvl w:val="0"/>
          <w:numId w:val="1015"/>
        </w:numPr>
        <w:pStyle w:val="Compact"/>
      </w:pPr>
      <w:r>
        <w:rPr>
          <w:b/>
        </w:rPr>
        <w:t xml:space="preserve">NIST Manage Function:</w:t>
      </w:r>
    </w:p>
    <w:p>
      <w:pPr>
        <w:numPr>
          <w:ilvl w:val="1"/>
          <w:numId w:val="1017"/>
        </w:numPr>
        <w:pStyle w:val="Compact"/>
      </w:pPr>
      <w:r>
        <w:t xml:space="preserve">Develop risk mitigation procedures</w:t>
      </w:r>
    </w:p>
    <w:p>
      <w:pPr>
        <w:numPr>
          <w:ilvl w:val="1"/>
          <w:numId w:val="1017"/>
        </w:numPr>
        <w:pStyle w:val="Compact"/>
      </w:pPr>
      <w:r>
        <w:t xml:space="preserve">Establish performance monitoring</w:t>
      </w:r>
    </w:p>
    <w:p>
      <w:pPr>
        <w:numPr>
          <w:ilvl w:val="1"/>
          <w:numId w:val="1017"/>
        </w:numPr>
        <w:pStyle w:val="Compact"/>
      </w:pPr>
      <w:r>
        <w:t xml:space="preserve">Create incident response protocols</w:t>
      </w:r>
    </w:p>
    <w:p>
      <w:pPr>
        <w:numPr>
          <w:ilvl w:val="1"/>
          <w:numId w:val="1017"/>
        </w:numPr>
        <w:pStyle w:val="Compact"/>
      </w:pPr>
      <w:r>
        <w:t xml:space="preserve">Document ongoing risk management</w:t>
      </w:r>
    </w:p>
    <w:p>
      <w:r>
        <w:pict>
          <v:rect style="width:0;height:1.5pt" o:hralign="center" o:hrstd="t" o:hr="t"/>
        </w:pict>
      </w:r>
    </w:p>
    <w:p>
      <w:pPr>
        <w:pStyle w:val="Heading3"/>
      </w:pPr>
      <w:bookmarkStart w:id="125" w:name="key-interoperability-friction-points"/>
      <w:r>
        <w:t xml:space="preserve">7.2 Key Interoperability Friction Points</w:t>
      </w:r>
      <w:bookmarkEnd w:id="125"/>
    </w:p>
    <w:p>
      <w:pPr>
        <w:pStyle w:val="FirstParagraph"/>
      </w:pPr>
      <w:r>
        <w:rPr>
          <w:b/>
        </w:rPr>
        <w:t xml:space="preserve">Friction Point 1: Risk Definition</w:t>
      </w:r>
      <w:r>
        <w:t xml:space="preserve"> </w:t>
      </w:r>
      <w:r>
        <w:t xml:space="preserve">- TRUMP: Computational capacity + loss-of-control risk assessment</w:t>
      </w:r>
      <w:r>
        <w:t xml:space="preserve"> </w:t>
      </w:r>
      <w:r>
        <w:t xml:space="preserve">- EU: Categorical application context (Annex III)</w:t>
      </w:r>
      <w:r>
        <w:t xml:space="preserve"> </w:t>
      </w:r>
      <w:r>
        <w:t xml:space="preserve">-</w:t>
      </w:r>
      <w:r>
        <w:t xml:space="preserve"> </w:t>
      </w:r>
      <w:r>
        <w:rPr>
          <w:b/>
        </w:rPr>
        <w:t xml:space="preserve">Mitigation:</w:t>
      </w:r>
      <w:r>
        <w:t xml:space="preserve"> </w:t>
      </w:r>
      <w:r>
        <w:t xml:space="preserve">Maintain mapping document between computational metrics and categorical risks</w:t>
      </w:r>
    </w:p>
    <w:p>
      <w:pPr>
        <w:pStyle w:val="BodyText"/>
      </w:pPr>
      <w:r>
        <w:rPr>
          <w:b/>
        </w:rPr>
        <w:t xml:space="preserve">Friction Point 2: Liability Burden</w:t>
      </w:r>
      <w:r>
        <w:t xml:space="preserve"> </w:t>
      </w:r>
      <w:r>
        <w:t xml:space="preserve">- TRUMP: Plaintiff proves breach (burden on claimant)</w:t>
      </w:r>
      <w:r>
        <w:t xml:space="preserve"> </w:t>
      </w:r>
      <w:r>
        <w:t xml:space="preserve">- EU: Provider proves compliance (burden on provider)</w:t>
      </w:r>
      <w:r>
        <w:t xml:space="preserve"> </w:t>
      </w:r>
      <w:r>
        <w:t xml:space="preserve">-</w:t>
      </w:r>
      <w:r>
        <w:t xml:space="preserve"> </w:t>
      </w:r>
      <w:r>
        <w:rPr>
          <w:b/>
        </w:rPr>
        <w:t xml:space="preserve">Mitigation:</w:t>
      </w:r>
      <w:r>
        <w:t xml:space="preserve"> </w:t>
      </w:r>
      <w:r>
        <w:t xml:space="preserve">Maintain dual evidence repositories for both defensive positions</w:t>
      </w:r>
    </w:p>
    <w:p>
      <w:pPr>
        <w:pStyle w:val="BodyText"/>
      </w:pPr>
      <w:r>
        <w:rPr>
          <w:b/>
        </w:rPr>
        <w:t xml:space="preserve">Friction Point 3: Training Data Authorization</w:t>
      </w:r>
      <w:r>
        <w:t xml:space="preserve"> </w:t>
      </w:r>
      <w:r>
        <w:t xml:space="preserve">- TRUMP: Requires copyright license or authorization</w:t>
      </w:r>
      <w:r>
        <w:t xml:space="preserve"> </w:t>
      </w:r>
      <w:r>
        <w:t xml:space="preserve">- EU: Fair use exception available for training</w:t>
      </w:r>
      <w:r>
        <w:t xml:space="preserve"> </w:t>
      </w:r>
      <w:r>
        <w:t xml:space="preserve">-</w:t>
      </w:r>
      <w:r>
        <w:t xml:space="preserve"> </w:t>
      </w:r>
      <w:r>
        <w:rPr>
          <w:b/>
        </w:rPr>
        <w:t xml:space="preserve">Mitigation:</w:t>
      </w:r>
      <w:r>
        <w:t xml:space="preserve"> </w:t>
      </w:r>
      <w:r>
        <w:t xml:space="preserve">Use only authorized/licensed training data; accept EU training data universe restriction for TRUMP compliance</w:t>
      </w:r>
    </w:p>
    <w:p>
      <w:pPr>
        <w:pStyle w:val="BodyText"/>
      </w:pPr>
      <w:r>
        <w:rPr>
          <w:b/>
        </w:rPr>
        <w:t xml:space="preserve">Friction Point 4: Testing Infrastructure</w:t>
      </w:r>
      <w:r>
        <w:t xml:space="preserve"> </w:t>
      </w:r>
      <w:r>
        <w:t xml:space="preserve">- TRUMP: Federal DOE evaluation program mandatory</w:t>
      </w:r>
      <w:r>
        <w:t xml:space="preserve"> </w:t>
      </w:r>
      <w:r>
        <w:t xml:space="preserve">- EU: Notified body assessment sufficient</w:t>
      </w:r>
      <w:r>
        <w:t xml:space="preserve"> </w:t>
      </w:r>
      <w:r>
        <w:t xml:space="preserve">-</w:t>
      </w:r>
      <w:r>
        <w:t xml:space="preserve"> </w:t>
      </w:r>
      <w:r>
        <w:rPr>
          <w:b/>
        </w:rPr>
        <w:t xml:space="preserve">Mitigation:</w:t>
      </w:r>
      <w:r>
        <w:t xml:space="preserve"> </w:t>
      </w:r>
      <w:r>
        <w:t xml:space="preserve">Dual testing pathways; participate in DOE program in addition to notified body assessment</w:t>
      </w:r>
    </w:p>
    <w:p>
      <w:pPr>
        <w:pStyle w:val="BodyText"/>
      </w:pPr>
      <w:r>
        <w:rPr>
          <w:b/>
        </w:rPr>
        <w:t xml:space="preserve">Friction Point 5: Content Provenance</w:t>
      </w:r>
      <w:r>
        <w:t xml:space="preserve"> </w:t>
      </w:r>
      <w:r>
        <w:t xml:space="preserve">- TRUMP: Mandatory watermarking and provenance embedding (Sec. 1405)</w:t>
      </w:r>
      <w:r>
        <w:t xml:space="preserve"> </w:t>
      </w:r>
      <w:r>
        <w:t xml:space="preserve">- EU: No equivalent requirement</w:t>
      </w:r>
      <w:r>
        <w:t xml:space="preserve"> </w:t>
      </w:r>
      <w:r>
        <w:t xml:space="preserve">-</w:t>
      </w:r>
      <w:r>
        <w:t xml:space="preserve"> </w:t>
      </w:r>
      <w:r>
        <w:rPr>
          <w:b/>
        </w:rPr>
        <w:t xml:space="preserve">Mitigation:</w:t>
      </w:r>
      <w:r>
        <w:t xml:space="preserve"> </w:t>
      </w:r>
      <w:r>
        <w:t xml:space="preserve">Implement watermarking universally; exceeds EU requirements</w:t>
      </w:r>
    </w:p>
    <w:p>
      <w:pPr>
        <w:pStyle w:val="BodyText"/>
      </w:pPr>
      <w:r>
        <w:rPr>
          <w:b/>
        </w:rPr>
        <w:t xml:space="preserve">Friction Point 6: Federal Procurement (U.S. Only)</w:t>
      </w:r>
      <w:r>
        <w:t xml:space="preserve"> </w:t>
      </w:r>
      <w:r>
        <w:t xml:space="preserve">- TRUMP: Section 1601</w:t>
      </w:r>
      <w:r>
        <w:t xml:space="preserve"> </w:t>
      </w:r>
      <w:r>
        <w:t xml:space="preserve">“</w:t>
      </w:r>
      <w:r>
        <w:t xml:space="preserve">unbiased AI principles</w:t>
      </w:r>
      <w:r>
        <w:t xml:space="preserve">”</w:t>
      </w:r>
      <w:r>
        <w:t xml:space="preserve"> </w:t>
      </w:r>
      <w:r>
        <w:t xml:space="preserve">requirement</w:t>
      </w:r>
      <w:r>
        <w:t xml:space="preserve"> </w:t>
      </w:r>
      <w:r>
        <w:t xml:space="preserve">- EU: Non-discriminatory requirement (different standard)</w:t>
      </w:r>
      <w:r>
        <w:t xml:space="preserve"> </w:t>
      </w:r>
      <w:r>
        <w:t xml:space="preserve">-</w:t>
      </w:r>
      <w:r>
        <w:t xml:space="preserve"> </w:t>
      </w:r>
      <w:r>
        <w:rPr>
          <w:b/>
        </w:rPr>
        <w:t xml:space="preserve">Mitigation:</w:t>
      </w:r>
      <w:r>
        <w:t xml:space="preserve"> </w:t>
      </w:r>
      <w:r>
        <w:t xml:space="preserve">Maintain separate LLM versions for federal vs. commercial deployment</w:t>
      </w:r>
    </w:p>
    <w:p>
      <w:r>
        <w:pict>
          <v:rect style="width:0;height:1.5pt" o:hralign="center" o:hrstd="t" o:hr="t"/>
        </w:pict>
      </w:r>
    </w:p>
    <w:p>
      <w:pPr>
        <w:pStyle w:val="Heading3"/>
      </w:pPr>
      <w:bookmarkStart w:id="126" w:name="thesis-contribution-summary"/>
      <w:r>
        <w:t xml:space="preserve">7.3 Thesis Contribution Summary</w:t>
      </w:r>
      <w:bookmarkEnd w:id="126"/>
    </w:p>
    <w:p>
      <w:pPr>
        <w:pStyle w:val="FirstParagraph"/>
      </w:pPr>
      <w:r>
        <w:t xml:space="preserve">This analysis reveals that TRUMP AI Act, EU AI Act, and NIST AI RMF represent</w:t>
      </w:r>
      <w:r>
        <w:t xml:space="preserve"> </w:t>
      </w:r>
      <w:r>
        <w:rPr>
          <w:b/>
        </w:rPr>
        <w:t xml:space="preserve">three distinct regulatory philosophies</w:t>
      </w:r>
      <w:r>
        <w:t xml:space="preserve">:</w:t>
      </w:r>
    </w:p>
    <w:p>
      <w:pPr>
        <w:pStyle w:val="BodyText"/>
      </w:pPr>
      <w:r>
        <w:rPr>
          <w:b/>
        </w:rPr>
        <w:t xml:space="preserve">EU AI Act:</w:t>
      </w:r>
      <w:r>
        <w:t xml:space="preserve"> </w:t>
      </w:r>
      <w:r>
        <w:t xml:space="preserve">Categorical, risk-based, provider-liability-focused, with prescriptive high-risk requirements and notified body verification</w:t>
      </w:r>
    </w:p>
    <w:p>
      <w:pPr>
        <w:pStyle w:val="BodyText"/>
      </w:pPr>
      <w:r>
        <w:rPr>
          <w:b/>
        </w:rPr>
        <w:t xml:space="preserve">NIST AI RMF:</w:t>
      </w:r>
      <w:r>
        <w:t xml:space="preserve"> </w:t>
      </w:r>
      <w:r>
        <w:t xml:space="preserve">Function-based, principle-centered, organization-flexible, with Govern-Map-Measure-Manage framework applicable across all organizational sizes and risk levels</w:t>
      </w:r>
    </w:p>
    <w:p>
      <w:pPr>
        <w:pStyle w:val="BodyText"/>
      </w:pPr>
      <w:r>
        <w:rPr>
          <w:b/>
        </w:rPr>
        <w:t xml:space="preserve">TRUMP AI Act:</w:t>
      </w:r>
      <w:r>
        <w:t xml:space="preserve"> </w:t>
      </w:r>
      <w:r>
        <w:t xml:space="preserve">Hybrid computational-and-risk-based, developer-and-deployer-dual-liability, with federal evaluation infrastructure and content authenticity focus unique among three frameworks</w:t>
      </w:r>
    </w:p>
    <w:p>
      <w:pPr>
        <w:pStyle w:val="BodyText"/>
      </w:pPr>
      <w:r>
        <w:rPr>
          <w:b/>
        </w:rPr>
        <w:t xml:space="preserve">Interoperability Findings:</w:t>
      </w:r>
      <w:r>
        <w:t xml:space="preserve"> </w:t>
      </w:r>
      <w:r>
        <w:t xml:space="preserve">1. Computational threshold differs from categorical risks (requires mapping)</w:t>
      </w:r>
      <w:r>
        <w:t xml:space="preserve"> </w:t>
      </w:r>
      <w:r>
        <w:t xml:space="preserve">2. Federal testing infrastructure requires dual compliance (DOE + notified bodies)</w:t>
      </w:r>
      <w:r>
        <w:t xml:space="preserve"> </w:t>
      </w:r>
      <w:r>
        <w:t xml:space="preserve">3. Liability burden shifts between jurisdictions (requires dual evidence strategies)</w:t>
      </w:r>
      <w:r>
        <w:t xml:space="preserve"> </w:t>
      </w:r>
      <w:r>
        <w:t xml:space="preserve">4. Training data restrictions most severe in TRUMP (requires licensing discipline)</w:t>
      </w:r>
      <w:r>
        <w:t xml:space="preserve"> </w:t>
      </w:r>
      <w:r>
        <w:t xml:space="preserve">5. Content provenance is TRUMP-unique (creates U.S. competitive advantage)</w:t>
      </w:r>
      <w:r>
        <w:t xml:space="preserve"> </w:t>
      </w:r>
      <w:r>
        <w:t xml:space="preserve">6. Organizational governance frameworks must accommodate three distinct models simultaneously</w:t>
      </w:r>
      <w:r>
        <w:t xml:space="preserve"> </w:t>
      </w:r>
      <w:r>
        <w:t xml:space="preserve">7. NAIRR infrastructure provides U.S. developers comparative advantage in federal evaluation access</w:t>
      </w:r>
    </w:p>
    <w:p>
      <w:pPr>
        <w:pStyle w:val="BodyText"/>
      </w:pPr>
      <w:r>
        <w:rPr>
          <w:b/>
        </w:rPr>
        <w:t xml:space="preserve">For Ph.D. thesis on</w:t>
      </w:r>
      <w:r>
        <w:rPr>
          <w:b/>
        </w:rPr>
        <w:t xml:space="preserve"> </w:t>
      </w:r>
      <w:r>
        <w:rPr>
          <w:b/>
        </w:rPr>
        <w:t xml:space="preserve">“</w:t>
      </w:r>
      <w:r>
        <w:rPr>
          <w:b/>
        </w:rPr>
        <w:t xml:space="preserve">EU AI Act and NIST AI RMF Interoperability,</w:t>
      </w:r>
      <w:r>
        <w:rPr>
          <w:b/>
        </w:rPr>
        <w:t xml:space="preserve">”</w:t>
      </w:r>
      <w:r>
        <w:t xml:space="preserve"> </w:t>
      </w:r>
      <w:r>
        <w:t xml:space="preserve">TRUMP AI Act adds critical complexity: developers cannot assume EU-NIST interoperability automatically scales to U.S. regulatory environment. Instead, they face</w:t>
      </w:r>
      <w:r>
        <w:t xml:space="preserve"> </w:t>
      </w:r>
      <w:r>
        <w:rPr>
          <w:b/>
        </w:rPr>
        <w:t xml:space="preserve">three-way interoperability problem</w:t>
      </w:r>
      <w:r>
        <w:t xml:space="preserve"> </w:t>
      </w:r>
      <w:r>
        <w:t xml:space="preserve">requiring:</w:t>
      </w:r>
      <w:r>
        <w:t xml:space="preserve"> </w:t>
      </w:r>
      <w:r>
        <w:t xml:space="preserve">- EU categorical risk assessment</w:t>
      </w:r>
      <w:r>
        <w:t xml:space="preserve"> </w:t>
      </w:r>
      <w:r>
        <w:t xml:space="preserve">- NIST functional risk management</w:t>
      </w:r>
      <w:r>
        <w:t xml:space="preserve"> </w:t>
      </w:r>
      <w:r>
        <w:t xml:space="preserve">- TRUMP computational threshold identification</w:t>
      </w:r>
      <w:r>
        <w:t xml:space="preserve"> </w:t>
      </w:r>
      <w:r>
        <w:t xml:space="preserve">- AND compliance across distinct liability, testing, training data, and content provenance regimes</w:t>
      </w:r>
    </w:p>
    <w:p>
      <w:pPr>
        <w:pStyle w:val="BodyText"/>
      </w:pPr>
      <w:r>
        <w:t xml:space="preserve">The interoperability argument therefore requires not just EU-NIST mapping, but a</w:t>
      </w:r>
      <w:r>
        <w:t xml:space="preserve"> </w:t>
      </w:r>
      <w:r>
        <w:rPr>
          <w:b/>
        </w:rPr>
        <w:t xml:space="preserve">triad framework</w:t>
      </w:r>
      <w:r>
        <w:t xml:space="preserve"> </w:t>
      </w:r>
      <w:r>
        <w:t xml:space="preserve">accommodating all three regulatory regimes with their incompatible risk definitions, burden-of-proof structures, and institutional actors (notified bodies, federal laboratories, organizational governance).</w:t>
      </w:r>
    </w:p>
    <w:p>
      <w:r>
        <w:pict>
          <v:rect style="width:0;height:1.5pt" o:hralign="center" o:hrstd="t" o:hr="t"/>
        </w:pict>
      </w:r>
    </w:p>
    <w:p>
      <w:pPr>
        <w:pStyle w:val="Heading2"/>
      </w:pPr>
      <w:bookmarkStart w:id="127" w:name="document-metadata"/>
      <w:r>
        <w:t xml:space="preserve">DOCUMENT METADATA</w:t>
      </w:r>
      <w:bookmarkEnd w:id="127"/>
    </w:p>
    <w:p>
      <w:pPr>
        <w:pStyle w:val="FirstParagraph"/>
      </w:pPr>
      <w:r>
        <w:rPr>
          <w:b/>
        </w:rPr>
        <w:t xml:space="preserve">Analysis Completed:</w:t>
      </w:r>
      <w:r>
        <w:t xml:space="preserve"> </w:t>
      </w:r>
      <w:r>
        <w:t xml:space="preserve">March 22, 2026</w:t>
      </w:r>
    </w:p>
    <w:p>
      <w:pPr>
        <w:pStyle w:val="BodyText"/>
      </w:pPr>
      <w:r>
        <w:rPr>
          <w:b/>
        </w:rPr>
        <w:t xml:space="preserve">Source Document:</w:t>
      </w:r>
      <w:r>
        <w:t xml:space="preserve"> </w:t>
      </w:r>
      <w:r>
        <w:t xml:space="preserve">TRUMP AI Act Discussion Draft (OLL26245 KX0, S.L.C. version)</w:t>
      </w:r>
    </w:p>
    <w:p>
      <w:pPr>
        <w:pStyle w:val="BodyText"/>
      </w:pPr>
      <w:r>
        <w:rPr>
          <w:b/>
        </w:rPr>
        <w:t xml:space="preserve">Pages Analyzed:</w:t>
      </w:r>
      <w:r>
        <w:t xml:space="preserve"> </w:t>
      </w:r>
      <w:r>
        <w:t xml:space="preserve">1-15, 100-279 (19 titles, 170+ statutory sections)</w:t>
      </w:r>
    </w:p>
    <w:p>
      <w:pPr>
        <w:pStyle w:val="BodyText"/>
      </w:pPr>
      <w:r>
        <w:rPr>
          <w:b/>
        </w:rPr>
        <w:t xml:space="preserve">Key Statutory Sections Extracted:</w:t>
      </w:r>
      <w:r>
        <w:t xml:space="preserve"> </w:t>
      </w:r>
      <w:r>
        <w:t xml:space="preserve">- Sec. 2 (Definitions)</w:t>
      </w:r>
      <w:r>
        <w:t xml:space="preserve"> </w:t>
      </w:r>
      <w:r>
        <w:t xml:space="preserve">- Sec. 602-603 (Title VI Risk Framework)</w:t>
      </w:r>
      <w:r>
        <w:t xml:space="preserve"> </w:t>
      </w:r>
      <w:r>
        <w:t xml:space="preserve">- Sec. 711-712 (Title VII Liability)</w:t>
      </w:r>
      <w:r>
        <w:t xml:space="preserve"> </w:t>
      </w:r>
      <w:r>
        <w:t xml:space="preserve">- Sec. 931, 941-942 (Title IX Innovation)</w:t>
      </w:r>
      <w:r>
        <w:t xml:space="preserve"> </w:t>
      </w:r>
      <w:r>
        <w:t xml:space="preserve">- Sec. 1001-5604 (Title X-LVI NAIRR)</w:t>
      </w:r>
      <w:r>
        <w:t xml:space="preserve"> </w:t>
      </w:r>
      <w:r>
        <w:t xml:space="preserve">- Sec. 1101-1202 (Title XI-XII Digital Rights)</w:t>
      </w:r>
      <w:r>
        <w:t xml:space="preserve"> </w:t>
      </w:r>
      <w:r>
        <w:t xml:space="preserve">- Sec. 1401-1406 (Title XIV Content Provenance)</w:t>
      </w:r>
      <w:r>
        <w:t xml:space="preserve"> </w:t>
      </w:r>
      <w:r>
        <w:t xml:space="preserve">- Sec. 1501-1502 (Title XV Copyright)</w:t>
      </w:r>
      <w:r>
        <w:t xml:space="preserve"> </w:t>
      </w:r>
      <w:r>
        <w:t xml:space="preserve">- Sec. 1601 (Title XVI Agency Use)</w:t>
      </w:r>
      <w:r>
        <w:t xml:space="preserve"> </w:t>
      </w:r>
      <w:r>
        <w:t xml:space="preserve">- Sec. 1701-1703 (Title XVII Miscellaneous)</w:t>
      </w:r>
    </w:p>
    <w:p>
      <w:pPr>
        <w:pStyle w:val="BodyText"/>
      </w:pPr>
      <w:r>
        <w:rPr>
          <w:b/>
        </w:rPr>
        <w:t xml:space="preserve">Comparison Frameworks Applied:</w:t>
      </w:r>
      <w:r>
        <w:t xml:space="preserve"> </w:t>
      </w:r>
      <w:r>
        <w:t xml:space="preserve">- EU AI Act Articles 1-15 (definitions, high-risk requirements, liability)</w:t>
      </w:r>
      <w:r>
        <w:t xml:space="preserve"> </w:t>
      </w:r>
      <w:r>
        <w:t xml:space="preserve">- NIST AI RMF Govern, Map, Measure, Manage functions</w:t>
      </w:r>
      <w:r>
        <w:t xml:space="preserve"> </w:t>
      </w:r>
      <w:r>
        <w:t xml:space="preserve">- Product Liability Directive 85/374/EEC (amended)</w:t>
      </w:r>
      <w:r>
        <w:t xml:space="preserve"> </w:t>
      </w:r>
      <w:r>
        <w:t xml:space="preserve">- Copyright Directive 2019/790 (training data provisions)</w:t>
      </w:r>
    </w:p>
    <w:p>
      <w:pPr>
        <w:pStyle w:val="BodyText"/>
      </w:pPr>
      <w:r>
        <w:rPr>
          <w:b/>
        </w:rPr>
        <w:t xml:space="preserve">Thesis-Relevant Findings:</w:t>
      </w:r>
      <w:r>
        <w:t xml:space="preserve"> </w:t>
      </w:r>
      <w:r>
        <w:t xml:space="preserve">8 key interoperability findings and 10 critical gaps identified</w:t>
      </w:r>
    </w:p>
    <w:p>
      <w:pPr>
        <w:pStyle w:val="BodyText"/>
      </w:pPr>
      <w:r>
        <w:rPr>
          <w:b/>
        </w:rPr>
        <w:t xml:space="preserve">Recommended Next Steps for Thesis:</w:t>
      </w:r>
      <w:r>
        <w:t xml:space="preserve"> </w:t>
      </w:r>
      <w:r>
        <w:t xml:space="preserve">1. Develop three-way interoperability matrix (EU, NIST, TRUMP)</w:t>
      </w:r>
      <w:r>
        <w:t xml:space="preserve"> </w:t>
      </w:r>
      <w:r>
        <w:t xml:space="preserve">2. Create compliance checklist for transatlantic AI deployment</w:t>
      </w:r>
      <w:r>
        <w:t xml:space="preserve"> </w:t>
      </w:r>
      <w:r>
        <w:t xml:space="preserve">3. Analyze case studies of AI systems subject to all three regimes</w:t>
      </w:r>
      <w:r>
        <w:t xml:space="preserve"> </w:t>
      </w:r>
      <w:r>
        <w:t xml:space="preserve">4. Assess competitive implications of NAIRR infrastructure advantage</w:t>
      </w:r>
      <w:r>
        <w:t xml:space="preserve"> </w:t>
      </w:r>
      <w:r>
        <w:t xml:space="preserve">5. Evaluate copyright training data restriction impact on model development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2026-03-22T16:11:04Z</dcterms:created>
  <dcterms:modified xsi:type="dcterms:W3CDTF">2026-03-22T16:11:04Z</dcterms:modified>
</cp:coreProperties>
</file>

<file path=docProps/custom.xml><?xml version="1.0" encoding="utf-8"?>
<Properties xmlns="http://schemas.openxmlformats.org/officeDocument/2006/custom-properties" xmlns:vt="http://schemas.openxmlformats.org/officeDocument/2006/docPropsVTypes"/>
</file>