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jc w:val="center"/>
      </w:pPr>
      <w:r>
        <w:t>MK DATA 📱</w:t>
      </w:r>
    </w:p>
    <w:p>
      <w:pPr>
        <w:jc w:val="center"/>
      </w:pPr>
      <w:r>
        <w:rPr>
          <w:b/>
          <w:color w:val="475569"/>
          <w:sz w:val="28"/>
        </w:rPr>
        <w:t>Enterprise Fintech &amp; VTU Platform — Handover &amp; Operations Guide</w:t>
      </w:r>
    </w:p>
    <w:p>
      <w:pPr>
        <w:jc w:val="center"/>
      </w:pPr>
      <w:r>
        <w:rPr>
          <w:color w:val="64748B"/>
          <w:sz w:val="20"/>
        </w:rPr>
        <w:t>Client Handover Deliverable | Prepared for Production Deployment</w:t>
        <w:br/>
        <w:t>Lead Developer Contact: 08034910470</w:t>
      </w:r>
    </w:p>
    <w:p>
      <w:pPr>
        <w:spacing w:after="240"/>
      </w:pPr>
    </w:p>
    <w:p>
      <w:pPr>
        <w:pStyle w:val="Heading1"/>
      </w:pPr>
      <w:r>
        <w:rPr>
          <w:color w:val="1E293B"/>
        </w:rPr>
        <w:t>1. Executive System Overview</w:t>
      </w:r>
    </w:p>
    <w:p>
      <w:r>
        <w:t>MK DATA is an enterprise-grade fintech and VTU (Virtual Top-Up) platform engineered to deliver instant mobile data bundles, airtime recharge, electricity utility tokens, cable TV subscriptions, and educational exam PINs across Nigeria. The system is built on Next.js 16 App Router, React 19, PostgreSQL (Neon Serverless), Prisma ORM, and TailwindCSS, backed by atomic wallet debit safeguards and BillStack automated virtual bank account funding.</w:t>
      </w:r>
    </w:p>
    <w:p>
      <w:pPr>
        <w:pStyle w:val="Heading1"/>
      </w:pPr>
      <w:r>
        <w:rPr>
          <w:color w:val="1E293B"/>
        </w:rPr>
        <w:t>2. Core Technology Stack</w:t>
      </w:r>
    </w:p>
    <w:tbl>
      <w:tblPr>
        <w:tblW w:type="auto" w:w="0"/>
        <w:jc w:val="center"/>
        <w:tblLook w:firstColumn="1" w:firstRow="1" w:lastColumn="0" w:lastRow="0" w:noHBand="0" w:noVBand="1" w:val="04A0"/>
      </w:tblPr>
      <w:tblGrid>
        <w:gridCol w:w="3312"/>
        <w:gridCol w:w="3312"/>
        <w:gridCol w:w="3312"/>
      </w:tblGrid>
      <w:tr>
        <w:tc>
          <w:tcPr>
            <w:tcW w:type="dxa" w:w="3312"/>
            <w:shd w:fill="1E293B"/>
          </w:tcPr>
          <w:p>
            <w:r>
              <w:rPr>
                <w:b/>
                <w:color w:val="FFFFFF"/>
                <w:sz w:val="19"/>
              </w:rPr>
              <w:t>Component Layer</w:t>
            </w:r>
          </w:p>
        </w:tc>
        <w:tc>
          <w:tcPr>
            <w:tcW w:type="dxa" w:w="3312"/>
            <w:shd w:fill="1E293B"/>
          </w:tcPr>
          <w:p>
            <w:r>
              <w:rPr>
                <w:b/>
                <w:color w:val="FFFFFF"/>
                <w:sz w:val="19"/>
              </w:rPr>
              <w:t>Technology / Framework</w:t>
            </w:r>
          </w:p>
        </w:tc>
        <w:tc>
          <w:tcPr>
            <w:tcW w:type="dxa" w:w="3312"/>
            <w:shd w:fill="1E293B"/>
          </w:tcPr>
          <w:p>
            <w:r>
              <w:rPr>
                <w:b/>
                <w:color w:val="FFFFFF"/>
                <w:sz w:val="19"/>
              </w:rPr>
              <w:t>Purpose / Role</w:t>
            </w:r>
          </w:p>
        </w:tc>
      </w:tr>
      <w:tr>
        <w:tc>
          <w:tcPr>
            <w:tcW w:type="dxa" w:w="3312"/>
            <w:shd w:fill="F8FAFC"/>
          </w:tcPr>
          <w:p>
            <w:r>
              <w:rPr>
                <w:color w:val="334155"/>
                <w:sz w:val="18"/>
              </w:rPr>
              <w:t>Web Frontend &amp; API</w:t>
            </w:r>
          </w:p>
        </w:tc>
        <w:tc>
          <w:tcPr>
            <w:tcW w:type="dxa" w:w="3312"/>
            <w:shd w:fill="F8FAFC"/>
          </w:tcPr>
          <w:p>
            <w:r>
              <w:rPr>
                <w:color w:val="334155"/>
                <w:sz w:val="18"/>
              </w:rPr>
              <w:t>Next.js 16 (App Router), React 19, TypeScript</w:t>
            </w:r>
          </w:p>
        </w:tc>
        <w:tc>
          <w:tcPr>
            <w:tcW w:type="dxa" w:w="3312"/>
            <w:shd w:fill="F8FAFC"/>
          </w:tcPr>
          <w:p>
            <w:r>
              <w:rPr>
                <w:color w:val="334155"/>
                <w:sz w:val="18"/>
              </w:rPr>
              <w:t>Responsive client portal, checkout flows &amp; API routes</w:t>
            </w:r>
          </w:p>
        </w:tc>
      </w:tr>
      <w:tr>
        <w:tc>
          <w:tcPr>
            <w:tcW w:type="dxa" w:w="3312"/>
            <w:shd w:fill="FFFFFF"/>
          </w:tcPr>
          <w:p>
            <w:r>
              <w:rPr>
                <w:color w:val="334155"/>
                <w:sz w:val="18"/>
              </w:rPr>
              <w:t>Database Layer</w:t>
            </w:r>
          </w:p>
        </w:tc>
        <w:tc>
          <w:tcPr>
            <w:tcW w:type="dxa" w:w="3312"/>
            <w:shd w:fill="FFFFFF"/>
          </w:tcPr>
          <w:p>
            <w:r>
              <w:rPr>
                <w:color w:val="334155"/>
                <w:sz w:val="18"/>
              </w:rPr>
              <w:t>PostgreSQL (Neon Serverless) &amp; Prisma 6</w:t>
            </w:r>
          </w:p>
        </w:tc>
        <w:tc>
          <w:tcPr>
            <w:tcW w:type="dxa" w:w="3312"/>
            <w:shd w:fill="FFFFFF"/>
          </w:tcPr>
          <w:p>
            <w:r>
              <w:rPr>
                <w:color w:val="334155"/>
                <w:sz w:val="18"/>
              </w:rPr>
              <w:t>ACID financial transactions, relational catalogs &amp; indexing</w:t>
            </w:r>
          </w:p>
        </w:tc>
      </w:tr>
      <w:tr>
        <w:tc>
          <w:tcPr>
            <w:tcW w:type="dxa" w:w="3312"/>
            <w:shd w:fill="F8FAFC"/>
          </w:tcPr>
          <w:p>
            <w:r>
              <w:rPr>
                <w:color w:val="334155"/>
                <w:sz w:val="18"/>
              </w:rPr>
              <w:t>Payment Processing</w:t>
            </w:r>
          </w:p>
        </w:tc>
        <w:tc>
          <w:tcPr>
            <w:tcW w:type="dxa" w:w="3312"/>
            <w:shd w:fill="F8FAFC"/>
          </w:tcPr>
          <w:p>
            <w:r>
              <w:rPr>
                <w:color w:val="334155"/>
                <w:sz w:val="18"/>
              </w:rPr>
              <w:t>BillStack Dedicated Virtual Accounts</w:t>
            </w:r>
          </w:p>
        </w:tc>
        <w:tc>
          <w:tcPr>
            <w:tcW w:type="dxa" w:w="3312"/>
            <w:shd w:fill="F8FAFC"/>
          </w:tcPr>
          <w:p>
            <w:r>
              <w:rPr>
                <w:color w:val="334155"/>
                <w:sz w:val="18"/>
              </w:rPr>
              <w:t>Instant wallet funding via Wema/Providus bank transfers</w:t>
            </w:r>
          </w:p>
        </w:tc>
      </w:tr>
      <w:tr>
        <w:tc>
          <w:tcPr>
            <w:tcW w:type="dxa" w:w="3312"/>
            <w:shd w:fill="FFFFFF"/>
          </w:tcPr>
          <w:p>
            <w:r>
              <w:rPr>
                <w:color w:val="334155"/>
                <w:sz w:val="18"/>
              </w:rPr>
              <w:t>Telecom Providers</w:t>
            </w:r>
          </w:p>
        </w:tc>
        <w:tc>
          <w:tcPr>
            <w:tcW w:type="dxa" w:w="3312"/>
            <w:shd w:fill="FFFFFF"/>
          </w:tcPr>
          <w:p>
            <w:r>
              <w:rPr>
                <w:color w:val="334155"/>
                <w:sz w:val="18"/>
              </w:rPr>
              <w:t>Alrahuz Data, AmySub, Saiful, SMEPlug</w:t>
            </w:r>
          </w:p>
        </w:tc>
        <w:tc>
          <w:tcPr>
            <w:tcW w:type="dxa" w:w="3312"/>
            <w:shd w:fill="FFFFFF"/>
          </w:tcPr>
          <w:p>
            <w:r>
              <w:rPr>
                <w:color w:val="334155"/>
                <w:sz w:val="18"/>
              </w:rPr>
              <w:t>Multi-vendor mobile data, airtime, and utility fulfillment</w:t>
            </w:r>
          </w:p>
        </w:tc>
      </w:tr>
      <w:tr>
        <w:tc>
          <w:tcPr>
            <w:tcW w:type="dxa" w:w="3312"/>
            <w:shd w:fill="F8FAFC"/>
          </w:tcPr>
          <w:p>
            <w:r>
              <w:rPr>
                <w:color w:val="334155"/>
                <w:sz w:val="18"/>
              </w:rPr>
              <w:t>Push Notifications</w:t>
            </w:r>
          </w:p>
        </w:tc>
        <w:tc>
          <w:tcPr>
            <w:tcW w:type="dxa" w:w="3312"/>
            <w:shd w:fill="F8FAFC"/>
          </w:tcPr>
          <w:p>
            <w:r>
              <w:rPr>
                <w:color w:val="334155"/>
                <w:sz w:val="18"/>
              </w:rPr>
              <w:t>Firebase Admin SDK (FCM Multicast)</w:t>
            </w:r>
          </w:p>
        </w:tc>
        <w:tc>
          <w:tcPr>
            <w:tcW w:type="dxa" w:w="3312"/>
            <w:shd w:fill="F8FAFC"/>
          </w:tcPr>
          <w:p>
            <w:r>
              <w:rPr>
                <w:color w:val="334155"/>
                <w:sz w:val="18"/>
              </w:rPr>
              <w:t>Automated device push notifications and broadcast alerts</w:t>
            </w:r>
          </w:p>
        </w:tc>
      </w:tr>
      <w:tr>
        <w:tc>
          <w:tcPr>
            <w:tcW w:type="dxa" w:w="3312"/>
            <w:shd w:fill="FFFFFF"/>
          </w:tcPr>
          <w:p>
            <w:r>
              <w:rPr>
                <w:color w:val="334155"/>
                <w:sz w:val="18"/>
              </w:rPr>
              <w:t>Authentication</w:t>
            </w:r>
          </w:p>
        </w:tc>
        <w:tc>
          <w:tcPr>
            <w:tcW w:type="dxa" w:w="3312"/>
            <w:shd w:fill="FFFFFF"/>
          </w:tcPr>
          <w:p>
            <w:r>
              <w:rPr>
                <w:color w:val="334155"/>
                <w:sz w:val="18"/>
              </w:rPr>
              <w:t>Jose JWT, Bcrypt &amp; Biometric Tokens</w:t>
            </w:r>
          </w:p>
        </w:tc>
        <w:tc>
          <w:tcPr>
            <w:tcW w:type="dxa" w:w="3312"/>
            <w:shd w:fill="FFFFFF"/>
          </w:tcPr>
          <w:p>
            <w:r>
              <w:rPr>
                <w:color w:val="334155"/>
                <w:sz w:val="18"/>
              </w:rPr>
              <w:t>Session management, PIN hashing &amp; biometric device auth</w:t>
            </w:r>
          </w:p>
        </w:tc>
      </w:tr>
    </w:tbl>
    <w:p>
      <w:pPr>
        <w:spacing w:after="240"/>
      </w:pPr>
    </w:p>
    <w:p>
      <w:pPr>
        <w:pStyle w:val="Heading1"/>
      </w:pPr>
      <w:r>
        <w:rPr>
          <w:color w:val="1E293B"/>
        </w:rPr>
        <w:t>3. Third-Party Account Transfer Matrix</w:t>
      </w:r>
    </w:p>
    <w:p>
      <w:r>
        <w:t>To assume complete operational ownership of MK DATA, transfer the following services to client-owned accounts:</w:t>
      </w:r>
    </w:p>
    <w:tbl>
      <w:tblPr>
        <w:tblW w:type="auto" w:w="0"/>
        <w:jc w:val="center"/>
        <w:tblLook w:firstColumn="1" w:firstRow="1" w:lastColumn="0" w:lastRow="0" w:noHBand="0" w:noVBand="1" w:val="04A0"/>
      </w:tblPr>
      <w:tblGrid>
        <w:gridCol w:w="3312"/>
        <w:gridCol w:w="3312"/>
        <w:gridCol w:w="3312"/>
      </w:tblGrid>
      <w:tr>
        <w:tc>
          <w:tcPr>
            <w:tcW w:type="dxa" w:w="3312"/>
            <w:shd w:fill="0F766E"/>
          </w:tcPr>
          <w:p>
            <w:r>
              <w:rPr>
                <w:b/>
                <w:color w:val="FFFFFF"/>
                <w:sz w:val="19"/>
              </w:rPr>
              <w:t>Service Provider</w:t>
            </w:r>
          </w:p>
        </w:tc>
        <w:tc>
          <w:tcPr>
            <w:tcW w:type="dxa" w:w="3312"/>
            <w:shd w:fill="0F766E"/>
          </w:tcPr>
          <w:p>
            <w:r>
              <w:rPr>
                <w:b/>
                <w:color w:val="FFFFFF"/>
                <w:sz w:val="19"/>
              </w:rPr>
              <w:t>Account Role</w:t>
            </w:r>
          </w:p>
        </w:tc>
        <w:tc>
          <w:tcPr>
            <w:tcW w:type="dxa" w:w="3312"/>
            <w:shd w:fill="0F766E"/>
          </w:tcPr>
          <w:p>
            <w:r>
              <w:rPr>
                <w:b/>
                <w:color w:val="FFFFFF"/>
                <w:sz w:val="19"/>
              </w:rPr>
              <w:t>Transfer &amp; Verification Action</w:t>
            </w:r>
          </w:p>
        </w:tc>
      </w:tr>
      <w:tr>
        <w:tc>
          <w:tcPr>
            <w:tcW w:type="dxa" w:w="3312"/>
            <w:shd w:fill="F0FDFA"/>
          </w:tcPr>
          <w:p>
            <w:r>
              <w:rPr>
                <w:color w:val="334155"/>
                <w:sz w:val="18"/>
              </w:rPr>
              <w:t>Vercel Hosting</w:t>
            </w:r>
          </w:p>
        </w:tc>
        <w:tc>
          <w:tcPr>
            <w:tcW w:type="dxa" w:w="3312"/>
            <w:shd w:fill="F0FDFA"/>
          </w:tcPr>
          <w:p>
            <w:r>
              <w:rPr>
                <w:color w:val="334155"/>
                <w:sz w:val="18"/>
              </w:rPr>
              <w:t>Web &amp; API Host</w:t>
            </w:r>
          </w:p>
        </w:tc>
        <w:tc>
          <w:tcPr>
            <w:tcW w:type="dxa" w:w="3312"/>
            <w:shd w:fill="F0FDFA"/>
          </w:tcPr>
          <w:p>
            <w:r>
              <w:rPr>
                <w:color w:val="334155"/>
                <w:sz w:val="18"/>
              </w:rPr>
              <w:t>Transfer Team / Project to client Vercel organization. Ensure production domain SSL is active.</w:t>
            </w:r>
          </w:p>
        </w:tc>
      </w:tr>
      <w:tr>
        <w:tc>
          <w:tcPr>
            <w:tcW w:type="dxa" w:w="3312"/>
            <w:shd w:fill="FFFFFF"/>
          </w:tcPr>
          <w:p>
            <w:r>
              <w:rPr>
                <w:color w:val="334155"/>
                <w:sz w:val="18"/>
              </w:rPr>
              <w:t>Neon PostgreSQL</w:t>
            </w:r>
          </w:p>
        </w:tc>
        <w:tc>
          <w:tcPr>
            <w:tcW w:type="dxa" w:w="3312"/>
            <w:shd w:fill="FFFFFF"/>
          </w:tcPr>
          <w:p>
            <w:r>
              <w:rPr>
                <w:color w:val="334155"/>
                <w:sz w:val="18"/>
              </w:rPr>
              <w:t>Database Host</w:t>
            </w:r>
          </w:p>
        </w:tc>
        <w:tc>
          <w:tcPr>
            <w:tcW w:type="dxa" w:w="3312"/>
            <w:shd w:fill="FFFFFF"/>
          </w:tcPr>
          <w:p>
            <w:r>
              <w:rPr>
                <w:color w:val="334155"/>
                <w:sz w:val="18"/>
              </w:rPr>
              <w:t>Transfer project ownership in Neon Console. Verify database connectivity.</w:t>
            </w:r>
          </w:p>
        </w:tc>
      </w:tr>
      <w:tr>
        <w:tc>
          <w:tcPr>
            <w:tcW w:type="dxa" w:w="3312"/>
            <w:shd w:fill="F0FDFA"/>
          </w:tcPr>
          <w:p>
            <w:r>
              <w:rPr>
                <w:color w:val="334155"/>
                <w:sz w:val="18"/>
              </w:rPr>
              <w:t>BillStack Payments</w:t>
            </w:r>
          </w:p>
        </w:tc>
        <w:tc>
          <w:tcPr>
            <w:tcW w:type="dxa" w:w="3312"/>
            <w:shd w:fill="F0FDFA"/>
          </w:tcPr>
          <w:p>
            <w:r>
              <w:rPr>
                <w:color w:val="334155"/>
                <w:sz w:val="18"/>
              </w:rPr>
              <w:t>Payment Gateway</w:t>
            </w:r>
          </w:p>
        </w:tc>
        <w:tc>
          <w:tcPr>
            <w:tcW w:type="dxa" w:w="3312"/>
            <w:shd w:fill="F0FDFA"/>
          </w:tcPr>
          <w:p>
            <w:r>
              <w:rPr>
                <w:color w:val="334155"/>
                <w:sz w:val="18"/>
              </w:rPr>
              <w:t>Update KYC, settlement bank account, and Webhook URL to production domain.</w:t>
            </w:r>
          </w:p>
        </w:tc>
      </w:tr>
      <w:tr>
        <w:tc>
          <w:tcPr>
            <w:tcW w:type="dxa" w:w="3312"/>
            <w:shd w:fill="FFFFFF"/>
          </w:tcPr>
          <w:p>
            <w:r>
              <w:rPr>
                <w:color w:val="334155"/>
                <w:sz w:val="18"/>
              </w:rPr>
              <w:t>Alrahuz Data</w:t>
            </w:r>
          </w:p>
        </w:tc>
        <w:tc>
          <w:tcPr>
            <w:tcW w:type="dxa" w:w="3312"/>
            <w:shd w:fill="FFFFFF"/>
          </w:tcPr>
          <w:p>
            <w:r>
              <w:rPr>
                <w:color w:val="334155"/>
                <w:sz w:val="18"/>
              </w:rPr>
              <w:t>Primary Telecom Vendor</w:t>
            </w:r>
          </w:p>
        </w:tc>
        <w:tc>
          <w:tcPr>
            <w:tcW w:type="dxa" w:w="3312"/>
            <w:shd w:fill="FFFFFF"/>
          </w:tcPr>
          <w:p>
            <w:r>
              <w:rPr>
                <w:color w:val="334155"/>
                <w:sz w:val="18"/>
              </w:rPr>
              <w:t>Register/transfer account, fund vendor wallet float, and update ALRAHUZ_API_TOKEN.</w:t>
            </w:r>
          </w:p>
        </w:tc>
      </w:tr>
      <w:tr>
        <w:tc>
          <w:tcPr>
            <w:tcW w:type="dxa" w:w="3312"/>
            <w:shd w:fill="F0FDFA"/>
          </w:tcPr>
          <w:p>
            <w:r>
              <w:rPr>
                <w:color w:val="334155"/>
                <w:sz w:val="18"/>
              </w:rPr>
              <w:t>Firebase (Google Cloud)</w:t>
            </w:r>
          </w:p>
        </w:tc>
        <w:tc>
          <w:tcPr>
            <w:tcW w:type="dxa" w:w="3312"/>
            <w:shd w:fill="F0FDFA"/>
          </w:tcPr>
          <w:p>
            <w:r>
              <w:rPr>
                <w:color w:val="334155"/>
                <w:sz w:val="18"/>
              </w:rPr>
              <w:t>Push Notifications</w:t>
            </w:r>
          </w:p>
        </w:tc>
        <w:tc>
          <w:tcPr>
            <w:tcW w:type="dxa" w:w="3312"/>
            <w:shd w:fill="F0FDFA"/>
          </w:tcPr>
          <w:p>
            <w:r>
              <w:rPr>
                <w:color w:val="334155"/>
                <w:sz w:val="18"/>
              </w:rPr>
              <w:t>Grant Owner role in Firebase Console. Generate and upload fresh service account JSON.</w:t>
            </w:r>
          </w:p>
        </w:tc>
      </w:tr>
      <w:tr>
        <w:tc>
          <w:tcPr>
            <w:tcW w:type="dxa" w:w="3312"/>
            <w:shd w:fill="FFFFFF"/>
          </w:tcPr>
          <w:p>
            <w:r>
              <w:rPr>
                <w:color w:val="334155"/>
                <w:sz w:val="18"/>
              </w:rPr>
              <w:t>Domain Registrar</w:t>
            </w:r>
          </w:p>
        </w:tc>
        <w:tc>
          <w:tcPr>
            <w:tcW w:type="dxa" w:w="3312"/>
            <w:shd w:fill="FFFFFF"/>
          </w:tcPr>
          <w:p>
            <w:r>
              <w:rPr>
                <w:color w:val="334155"/>
                <w:sz w:val="18"/>
              </w:rPr>
              <w:t>DNS &amp; Domain</w:t>
            </w:r>
          </w:p>
        </w:tc>
        <w:tc>
          <w:tcPr>
            <w:tcW w:type="dxa" w:w="3312"/>
            <w:shd w:fill="FFFFFF"/>
          </w:tcPr>
          <w:p>
            <w:r>
              <w:rPr>
                <w:color w:val="334155"/>
                <w:sz w:val="18"/>
              </w:rPr>
              <w:t>Point DNS A/CNAME records to Vercel and verify https://mkdata.com.ng.</w:t>
            </w:r>
          </w:p>
        </w:tc>
      </w:tr>
    </w:tbl>
    <w:p>
      <w:pPr>
        <w:spacing w:after="240"/>
      </w:pPr>
    </w:p>
    <w:p>
      <w:pPr>
        <w:pStyle w:val="Heading1"/>
      </w:pPr>
      <w:r>
        <w:rPr>
          <w:color w:val="1E293B"/>
        </w:rPr>
        <w:t>4. Operational Troubleshooting Matrix</w:t>
      </w:r>
    </w:p>
    <w:tbl>
      <w:tblPr>
        <w:tblW w:type="auto" w:w="0"/>
        <w:jc w:val="center"/>
        <w:tblLook w:firstColumn="1" w:firstRow="1" w:lastColumn="0" w:lastRow="0" w:noHBand="0" w:noVBand="1" w:val="04A0"/>
      </w:tblPr>
      <w:tblGrid>
        <w:gridCol w:w="3312"/>
        <w:gridCol w:w="3312"/>
        <w:gridCol w:w="3312"/>
      </w:tblGrid>
      <w:tr>
        <w:tc>
          <w:tcPr>
            <w:tcW w:type="dxa" w:w="3312"/>
            <w:shd w:fill="334155"/>
          </w:tcPr>
          <w:p>
            <w:r>
              <w:rPr>
                <w:b/>
                <w:color w:val="FFFFFF"/>
                <w:sz w:val="19"/>
              </w:rPr>
              <w:t>Issue Symptom</w:t>
            </w:r>
          </w:p>
        </w:tc>
        <w:tc>
          <w:tcPr>
            <w:tcW w:type="dxa" w:w="3312"/>
            <w:shd w:fill="334155"/>
          </w:tcPr>
          <w:p>
            <w:r>
              <w:rPr>
                <w:b/>
                <w:color w:val="FFFFFF"/>
                <w:sz w:val="19"/>
              </w:rPr>
              <w:t>Root Cause</w:t>
            </w:r>
          </w:p>
        </w:tc>
        <w:tc>
          <w:tcPr>
            <w:tcW w:type="dxa" w:w="3312"/>
            <w:shd w:fill="334155"/>
          </w:tcPr>
          <w:p>
            <w:r>
              <w:rPr>
                <w:b/>
                <w:color w:val="FFFFFF"/>
                <w:sz w:val="19"/>
              </w:rPr>
              <w:t>Resolution Action</w:t>
            </w:r>
          </w:p>
        </w:tc>
      </w:tr>
      <w:tr>
        <w:tc>
          <w:tcPr>
            <w:tcW w:type="dxa" w:w="3312"/>
            <w:shd w:fill="F8FAFC"/>
          </w:tcPr>
          <w:p>
            <w:r>
              <w:rPr>
                <w:color w:val="334155"/>
                <w:sz w:val="18"/>
              </w:rPr>
              <w:t>Bank transfer made, wallet not credited</w:t>
            </w:r>
          </w:p>
        </w:tc>
        <w:tc>
          <w:tcPr>
            <w:tcW w:type="dxa" w:w="3312"/>
            <w:shd w:fill="F8FAFC"/>
          </w:tcPr>
          <w:p>
            <w:r>
              <w:rPr>
                <w:color w:val="334155"/>
                <w:sz w:val="18"/>
              </w:rPr>
              <w:t>Webhook signature mismatch or URL misconfigured</w:t>
            </w:r>
          </w:p>
        </w:tc>
        <w:tc>
          <w:tcPr>
            <w:tcW w:type="dxa" w:w="3312"/>
            <w:shd w:fill="F8FAFC"/>
          </w:tcPr>
          <w:p>
            <w:r>
              <w:rPr>
                <w:color w:val="334155"/>
                <w:sz w:val="18"/>
              </w:rPr>
              <w:t>Verify BILLSTACK_SECRET_KEY in Vercel and check Admin &gt; Webhooks log.</w:t>
            </w:r>
          </w:p>
        </w:tc>
      </w:tr>
      <w:tr>
        <w:tc>
          <w:tcPr>
            <w:tcW w:type="dxa" w:w="3312"/>
            <w:shd w:fill="FFFFFF"/>
          </w:tcPr>
          <w:p>
            <w:r>
              <w:rPr>
                <w:color w:val="334155"/>
                <w:sz w:val="18"/>
              </w:rPr>
              <w:t>Data order fails: Vendor balance low</w:t>
            </w:r>
          </w:p>
        </w:tc>
        <w:tc>
          <w:tcPr>
            <w:tcW w:type="dxa" w:w="3312"/>
            <w:shd w:fill="FFFFFF"/>
          </w:tcPr>
          <w:p>
            <w:r>
              <w:rPr>
                <w:color w:val="334155"/>
                <w:sz w:val="18"/>
              </w:rPr>
              <w:t>Alrahuz float wallet ran out of funds</w:t>
            </w:r>
          </w:p>
        </w:tc>
        <w:tc>
          <w:tcPr>
            <w:tcW w:type="dxa" w:w="3312"/>
            <w:shd w:fill="FFFFFF"/>
          </w:tcPr>
          <w:p>
            <w:r>
              <w:rPr>
                <w:color w:val="334155"/>
                <w:sz w:val="18"/>
              </w:rPr>
              <w:t>Immediately top up Alrahuz account via bank transfer. Orders can be retried.</w:t>
            </w:r>
          </w:p>
        </w:tc>
      </w:tr>
      <w:tr>
        <w:tc>
          <w:tcPr>
            <w:tcW w:type="dxa" w:w="3312"/>
            <w:shd w:fill="F8FAFC"/>
          </w:tcPr>
          <w:p>
            <w:r>
              <w:rPr>
                <w:color w:val="334155"/>
                <w:sz w:val="18"/>
              </w:rPr>
              <w:t>Push notification broadcast error</w:t>
            </w:r>
          </w:p>
        </w:tc>
        <w:tc>
          <w:tcPr>
            <w:tcW w:type="dxa" w:w="3312"/>
            <w:shd w:fill="F8FAFC"/>
          </w:tcPr>
          <w:p>
            <w:r>
              <w:rPr>
                <w:color w:val="334155"/>
                <w:sz w:val="18"/>
              </w:rPr>
              <w:t>FIREBASE_SERVICE_ACCOUNT_JSON missing/invalid</w:t>
            </w:r>
          </w:p>
        </w:tc>
        <w:tc>
          <w:tcPr>
            <w:tcW w:type="dxa" w:w="3312"/>
            <w:shd w:fill="F8FAFC"/>
          </w:tcPr>
          <w:p>
            <w:r>
              <w:rPr>
                <w:color w:val="334155"/>
                <w:sz w:val="18"/>
              </w:rPr>
              <w:t>Re-export service account JSON from Google Cloud Console and paste in Vercel.</w:t>
            </w:r>
          </w:p>
        </w:tc>
      </w:tr>
      <w:tr>
        <w:tc>
          <w:tcPr>
            <w:tcW w:type="dxa" w:w="3312"/>
            <w:shd w:fill="FFFFFF"/>
          </w:tcPr>
          <w:p>
            <w:r>
              <w:rPr>
                <w:color w:val="334155"/>
                <w:sz w:val="18"/>
              </w:rPr>
              <w:t>Admin login PIN rejected</w:t>
            </w:r>
          </w:p>
        </w:tc>
        <w:tc>
          <w:tcPr>
            <w:tcW w:type="dxa" w:w="3312"/>
            <w:shd w:fill="FFFFFF"/>
          </w:tcPr>
          <w:p>
            <w:r>
              <w:rPr>
                <w:color w:val="334155"/>
                <w:sz w:val="18"/>
              </w:rPr>
              <w:t>Admin user PIN reset or missing in DB</w:t>
            </w:r>
          </w:p>
        </w:tc>
        <w:tc>
          <w:tcPr>
            <w:tcW w:type="dxa" w:w="3312"/>
            <w:shd w:fill="FFFFFF"/>
          </w:tcPr>
          <w:p>
            <w:r>
              <w:rPr>
                <w:color w:val="334155"/>
                <w:sz w:val="18"/>
              </w:rPr>
              <w:t>Run 'npm run seed:admin-services' with MK_ADMIN_PIN='000000'.</w:t>
            </w:r>
          </w:p>
        </w:tc>
      </w:tr>
    </w:tbl>
    <w:p>
      <w:pPr>
        <w:spacing w:after="320"/>
      </w:pPr>
    </w:p>
    <w:p>
      <w:pPr>
        <w:pStyle w:val="Heading1"/>
      </w:pPr>
      <w:r>
        <w:rPr>
          <w:color w:val="1E293B"/>
        </w:rPr>
        <w:t>5. Lead Developer Contact &amp; Technical Handover Support</w:t>
      </w:r>
    </w:p>
    <w:p>
      <w:r>
        <w:rPr>
          <w:b/>
        </w:rPr>
        <w:t>For source code walkthroughs, deployment inquiries, or technical assistance:</w:t>
        <w:br/>
      </w:r>
      <w:r>
        <w:rPr>
          <w:b w:val="0"/>
        </w:rPr>
        <w:t xml:space="preserve">• Phone / WhatsApp: </w:t>
      </w:r>
      <w:r>
        <w:rPr>
          <w:b/>
        </w:rPr>
        <w:t>08034910470</w:t>
        <w:br/>
      </w:r>
      <w:r>
        <w:t>• Handover Support: Direct Architecture &amp; Environment Inquiries</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rPr>
      <w:rFonts w:ascii="Calibri" w:hAnsi="Calibri"/>
      <w:b/>
      <w:color w:val="0F172A"/>
      <w:sz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