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>
  <w:body>
    <!-- Document Title & Subtitle -->
    <w:p>
      <w:pPr>
        <w:jc w:val="center"/>
      </w:pPr>
      <w:r>
        <w:rPr>
          <w:b/>
          <w:sz w:val="56"/>
          <w:color w:val="5FA8D3"/>
        </w:rPr>
        <w:t>mdok Word Document Engine Showcase</w:t>
      </w:r>
    </w:p>
    <w:p>
      <w:pPr>
        <w:jc w:val="center"/>
      </w:pPr>
      <w:r>
        <w:rPr>
          <w:i/>
          <w:color w:val="888888"/>
        </w:rPr>
        <w:t>Native OpenXML Word (.docx) Rendering in the Terminal</w:t>
      </w:r>
    </w:p>
    <w:p/>
    <!-- Section 1: Typography and Inline Styles -->
    <w:p>
      <w:pPr>
        <w:pStyle w:val="Heading1"/>
      </w:pPr>
      <w:r>
        <w:t>1. Typography &amp; Inline Styling</w:t>
      </w:r>
    </w:p>
    <w:p>
      <w:r>
        <w:t>mdok parses rich run properties faithfully: </w:t>
      </w:r>
      <w:r>
        <w:rPr>
          <w:b/>
        </w:rPr>
        <w:t>bold text</w:t>
      </w:r>
      <w:r>
        <w:t>, </w:t>
      </w:r>
      <w:r>
        <w:rPr>
          <w:i/>
        </w:rPr>
        <w:t>italicized text</w:t>
      </w:r>
      <w:r>
        <w:t>, </w:t>
      </w:r>
      <w:r>
        <w:rPr>
          <w:u w:val="single"/>
        </w:rPr>
        <w:t>underlined phrases</w:t>
      </w:r>
      <w:r>
        <w:t>, and </w:t>
      </w:r>
      <w:r>
        <w:rPr>
          <w:strike/>
        </w:rPr>
        <w:t>strikethrough</w:t>
      </w:r>
      <w:r>
        <w:t>. It also preserves </w:t>
      </w:r>
      <w:r>
        <w:rPr>
          <w:highlight w:val="yellow"/>
        </w:rPr>
        <w:t>highlighted passages</w:t>
      </w:r>
      <w:r>
        <w:t>, </w:t>
      </w:r>
      <w:r>
        <w:rPr>
          <w:color w:val="00D68F"/>
          <w:b/>
        </w:rPr>
        <w:t>custom brand colors</w:t>
      </w:r>
      <w:r>
        <w:t>, and inline </w:t>
      </w:r>
      <w:r>
        <w:rPr>
          <w:rFonts w:ascii="Consolas"/>
        </w:rPr>
        <w:t>`monospace code`</w:t>
      </w:r>
      <w:r>
        <w:t> spans.</w:t>
      </w:r>
    </w:p>
    <!-- Hyperlink -->
    <w:p>
      <w:r>
        <w:t>Visit project repository: </w:t>
      </w:r>
      <w:hyperlink r:id="rIdWebLink">
        <w:r>
          <w:rPr>
            <w:u w:val="single"/>
            <w:color w:val="5FA8D3"/>
          </w:rPr>
          <w:t>https://github.com/aautushka/mdok</w:t>
        </w:r>
      </w:hyperlink>
      <w:r>
        <w:t> for documentation and updates.</w:t>
      </w:r>
    </w:p>
    <!-- Section 2: Lists & Checklists -->
    <w:p>
      <w:pPr>
        <w:pStyle w:val="Heading1"/>
      </w:pPr>
      <w:r>
        <w:t>2. Lists &amp; Interactive Checkboxes</w:t>
      </w:r>
    </w:p>
    <w:p>
      <w:pPr>
        <w:pStyle w:val="ListBullet"/>
      </w:pPr>
      <w:r>
        <w:t>High-performance pure Python parser with zero binary dependencies</w:t>
      </w:r>
    </w:p>
    <w:p>
      <w:pPr>
        <w:pStyle w:val="ListBullet"/>
      </w:pPr>
      <w:r>
        <w:t>Integrated responsive terminal column calculation</w:t>
      </w:r>
    </w:p>
    <w:p>
      <w:pPr>
        <w:pStyle w:val="ListBullet"/>
      </w:pPr>
      <w:r>
        <w:t>Seamless integration with Rich console themes and styles</w:t>
      </w:r>
    </w:p>
    <w:p>
      <w:r>
        <w:rPr>
          <w:b/>
        </w:rPr>
        <w:t>Project Release Checklist:</w:t>
      </w:r>
    </w:p>
    <!-- Checkbox SDT items -->
    <w:p>
      <w:sdt>
        <w:sdtPr>
          <w14:checkbox>
            <w14:checked w14:val="1"/>
          </w14:checkbox>
        </w:sdtPr>
        <w:sdtContent>
          <w:r>
            <w:t>Implement core OpenXML paragraph, run, and heading parser</w:t>
          </w:r>
        </w:sdtContent>
      </w:sdt>
    </w:p>
    <w:p>
      <w:sdt>
        <w:sdtPr>
          <w14:checkbox>
            <w14:checked w14:val="1"/>
          </w14:checkbox>
        </w:sdtPr>
        <w:sdtContent>
          <w:r>
            <w:t>Support advanced table grid budgeting, cell shading, and spanning</w:t>
          </w:r>
        </w:sdtContent>
      </w:sdt>
    </w:p>
    <w:p>
      <w:sdt>
        <w:sdtPr>
          <w14:checkbox>
            <w14:checked w14:val="1"/>
          </w14:checkbox>
        </w:sdtPr>
        <w:sdtContent>
          <w:r>
            <w:t>Extract footnotes and endnotes cleanly to document footer</w:t>
          </w:r>
        </w:sdtContent>
      </w:sdt>
    </w:p>
    <w:p>
      <w:sdt>
        <w:sdtPr>
          <w14:checkbox>
            <w14:checked w14:val="0"/>
          </w14:checkbox>
        </w:sdtPr>
        <w:sdtContent>
          <w:r>
            <w:t>Support inline embedded raster images via kitty/sixel graphics</w:t>
          </w:r>
        </w:sdtContent>
      </w:sdt>
    </w:p>
    <!-- Section 3: Callouts and Quotes -->
    <w:p>
      <w:pPr>
        <w:pStyle w:val="Heading1"/>
      </w:pPr>
      <w:r>
        <w:t>3. Blockquotes &amp; Notes</w:t>
      </w:r>
    </w:p>
    <w:p>
      <w:pPr>
        <w:pStyle w:val="Quote"/>
      </w:pPr>
      <w:r>
        <w:i/>
        <w:t>“The terminal is the most focused, distraction-free environment for reading and reviewing documents. Bringing Word documents into this workflow without conversion artifacts changes everything.”</w:t>
      </w:r>
      <w:footnoteReference w:id="1"/>
    </w:p>
    <!-- Section 4: Advanced Tables -->
    <w:p>
      <w:pPr>
        <w:pStyle w:val="Heading1"/>
      </w:pPr>
      <w:r>
        <w:t>4. Data Tables with Widths, Shading &amp; Merged Cells</w:t>
      </w:r>
    </w:p>
    <w:tbl>
      <w:tblPr>
        <w:tblBorders>
          <w:top w:val="single"/>
          <w:bottom w:val="single"/>
          <w:insideH w:val="single"/>
        </w:tblBorders>
      </w:tblPr>
      <w:tblGrid>
        <w:gridCol w:w="1800"/>
        <w:gridCol w:w="3000"/>
        <w:gridCol w:w="2600"/>
        <w:gridCol w:w="2600"/>
      </w:tblGrid>
      <!-- Table Header -->
      <w:tr>
        <w:trPr>
          <w:tblHeader/>
        </w:trPr>
        <w:tc>
          <w:tcPr>
            <w:shd w:fill="24283b"/>
          </w:tcPr>
          <w:p>
            <w:pPr>
              <w:jc w:val="left"/>
            </w:pPr>
            <w:r>
              <w:rPr>
                <w:b/>
                <w:color w:val="7AA2F7"/>
              </w:rPr>
              <w:t>Feature</w:t>
            </w:r>
          </w:p>
        </w:tc>
        <w:tc>
          <w:tcPr>
            <w:shd w:fill="24283b"/>
          </w:tcPr>
          <w:p>
            <w:pPr>
              <w:jc w:val="left"/>
            </w:pPr>
            <w:r>
              <w:rPr>
                <w:b/>
                <w:color w:val="7AA2F7"/>
              </w:rPr>
              <w:t>Implementation</w:t>
            </w:r>
          </w:p>
        </w:tc>
        <w:tc>
          <w:tcPr>
            <w:shd w:fill="24283b"/>
          </w:tcPr>
          <w:p>
            <w:pPr>
              <w:jc w:val="center"/>
            </w:pPr>
            <w:r>
              <w:rPr>
                <w:b/>
                <w:color w:val="7AA2F7"/>
              </w:rPr>
              <w:t>Performance</w:t>
            </w:r>
          </w:p>
        </w:tc>
        <w:tc>
          <w:tcPr>
            <w:shd w:fill="24283b"/>
          </w:tcPr>
          <w:p>
            <w:pPr>
              <w:jc w:val="center"/>
            </w:pPr>
            <w:r>
              <w:rPr>
                <w:b/>
                <w:color w:val="7AA2F7"/>
              </w:rPr>
              <w:t>Status</w:t>
            </w:r>
          </w:p>
        </w:tc>
      </w:tr>
      <!-- Row 1 -->
      <w:tr>
        <w:tc>
          <w:p>
            <w:r>
              <w:rPr>
                <w:b/>
              </w:rPr>
              <w:t>OpenXML Reader</w:t>
            </w:r>
          </w:p>
        </w:tc>
        <w:tc>
          <w:p>
            <w:r>
              <w:t>Python zipfile + ElementTree</w:t>
            </w:r>
          </w:p>
        </w:tc>
        <w:tc>
          <w:p>
            <w:pPr>
              <w:jc w:val="center"/>
            </w:pPr>
            <w:r>
              <w:t>&lt; 15 ms</w:t>
            </w:r>
          </w:p>
        </w:tc>
        <w:tc>
          <w:tcPr>
            <w:shd w:fill="1E3A2F"/>
          </w:tcPr>
          <w:p>
            <w:pPr>
              <w:jc w:val="center"/>
            </w:pPr>
            <w:r>
              <w:rPr>
                <w:b/>
                <w:color w:val="00D68F"/>
              </w:rPr>
              <w:t>✓ Native</w:t>
            </w:r>
          </w:p>
        </w:tc>
      </w:tr>
      <!-- Row 2 -->
      <w:tr>
        <w:tc>
          <w:p>
            <w:r>
              <w:rPr>
                <w:b/>
              </w:rPr>
              <w:t>Smart Widths</w:t>
            </w:r>
          </w:p>
        </w:tc>
        <w:tc>
          <w:p>
            <w:r>
              <w:t>Weighted dxa distribution</w:t>
            </w:r>
          </w:p>
        </w:tc>
        <w:tc>
          <w:p>
            <w:pPr>
              <w:jc w:val="center"/>
            </w:pPr>
            <w:r>
              <w:t>O(N) cols</w:t>
            </w:r>
          </w:p>
        </w:tc>
        <w:tc>
          <w:tcPr>
            <w:shd w:fill="1E3A2F"/>
          </w:tcPr>
          <w:p>
            <w:pPr>
              <w:jc w:val="center"/>
            </w:pPr>
            <w:r>
              <w:rPr>
                <w:b/>
                <w:color w:val="00D68F"/>
              </w:rPr>
              <w:t>✓ Native</w:t>
            </w:r>
          </w:p>
        </w:tc>
      </w:tr>
      <!-- Row 3 with gridSpan = 2 -->
      <w:tr>
        <w:tc>
          <w:p>
            <w:r>
              <w:rPr>
                <w:b/>
              </w:rPr>
              <w:t>Footnotes</w:t>
            </w:r>
          </w:p>
        </w:tc>
        <w:tc>
          <w:tcPr>
            <w:gridSpan w:val="2"/>
            <w:shd w:fill="2A2D37"/>
          </w:tcPr>
          <w:p>
            <w:r>
              <w:t>Extracts footnote &amp; endnote XML references to bottom footer</w:t>
            </w:r>
          </w:p>
        </w:tc>
        <w:tc>
          <w:tcPr>
            <w:shd w:fill="1E3A2F"/>
          </w:tcPr>
          <w:p>
            <w:pPr>
              <w:jc w:val="center"/>
            </w:pPr>
            <w:r>
              <w:rPr>
                <w:b/>
                <w:color w:val="00D68F"/>
              </w:rPr>
              <w:t>✓ Native</w:t>
            </w:r>
          </w:p>
        </w:tc>
      </w:tr>
    </w:tbl>
    <w:p/>
    <!-- Section 5: Borderless Layout Grid (Signatures / Parties) -->
    <w:p>
      <w:pPr>
        <w:pStyle w:val="Heading1"/>
      </w:pPr>
      <w:r>
        <w:t>5. Borderless Two-Column Layout Blocks</w:t>
      </w:r>
    </w:p>
    <w:tbl>
      <w:tblPr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r>
        <w:tc>
          <w:p>
            <w:r>
              <w:rPr>
                <w:b/>
                <w:color w:val="7AA2F7"/>
              </w:rPr>
              <w:t>Authorized Signatory (Client):</w:t>
            </w:r>
          </w:p>
          <w:p>
            <w:r>
              <w:t>Acme Corporation, Inc.</w:t>
            </w:r>
          </w:p>
          <w:p>
            <w:r>
              <w:t>Address: 500 Technology Way, San Francisco, CA</w:t>
            </w:r>
          </w:p>
          <w:p>
            <w:r>
              <w:t>Signature: </w:t>
            </w:r>
            <w:r>
              <w:rPr>
                <w:u w:val="single"/>
              </w:rPr>
              <w:t>Jane Doe, VP Engineering</w:t>
            </w:r>
          </w:p>
        </w:tc>
        <w:tc>
          <w:p>
            <w:r>
              <w:rPr>
                <w:b/>
                <w:color w:val="00D68F"/>
              </w:rPr>
              <w:t>Authorized Signatory (Vendor):</w:t>
            </w:r>
          </w:p>
          <w:p>
            <w:r>
              <w:t>Mdok Technologies Ltd.</w:t>
            </w:r>
          </w:p>
          <w:p>
            <w:r>
              <w:t>Address: 42 Open Source Blvd, Austin, TX</w:t>
            </w:r>
          </w:p>
          <w:p>
            <w:r>
              <w:t>Signature: </w:t>
            </w:r>
            <w:r>
              <w:rPr>
                <w:u w:val="single"/>
              </w:rPr>
              <w:t>Anton A., Lead Architect</w:t>
            </w:r>
          </w:p>
        </w:tc>
      </w:tr>
    </w:tbl>
    <w:p>
      <w:r>
        <w:t>This showcase conforms to the OpenXML specifications</w:t>
      </w:r>
      <w:endnoteReference w:id="1"/>
      <w:r>
        <w:t>.</w:t>
      </w:r>
    </w:p>
  </w:body>
</w:document>
</file>

<file path=word/endnotes.xml><?xml version="1.0" encoding="utf-8"?>
<w:endnotes xmlns:w="http://schemas.openxmlformats.org/wordprocessingml/2006/main">
  <w:endnote w:id="1">
    <w:p>
      <w:r>
        <w:t>ISO/IEC 29500-1:2016 - Information technology - Document description and processing languages - Office Open XML File Formats.</w:t>
      </w:r>
    </w:p>
  </w:endnote>
</w:endnotes>
</file>

<file path=word/footnotes.xml><?xml version="1.0" encoding="utf-8"?>
<w:footnotes xmlns:w="http://schemas.openxmlformats.org/wordprocessingml/2006/main">
  <w:footnote w:id="1">
    <w:p>
      <w:r>
        <w:t>mdok is designed for terminal lovers who demand zero-compromise formatting.</w:t>
      </w:r>
    </w:p>
  </w:footnote>
  <w:footnote w:id="2">
    <w:p>
      <w:r>
        <w:t>Benchmarked against pandoc and catdoc, rendering over 10x faster without spawning child processes.</w:t>
      </w:r>
    </w:p>
  </w:footnote>
</w:footnotes>
</file>

<file path=word/_rels/document.xml.rels><?xml version="1.0" encoding="UTF-8" standalone="yes"?>
<Relationships xmlns="http://schemas.openxmlformats.org/package/2006/relationships">
    <Relationship Id="rIdFootnotes" Type="http://schemas.openxmlformats.org/officeDocument/2006/relationships/footnotes" Target="footnotes.xml"/>
    <Relationship Id="rIdEndnotes" Type="http://schemas.openxmlformats.org/officeDocument/2006/relationships/endnotes" Target="endnotes.xml"/>
    <Relationship Id="rIdWebLink" Type="http://schemas.openxmlformats.org/officeDocument/2006/relationships/hyperlink" Target="https://github.com/aautushka/mdok" TargetMode="External"/>
</Relationships>
</file>