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>
          <w:rFonts w:ascii="Calibri" w:hAnsi="Calibri" w:eastAsia="Calibri" w:cs="Calibri"/>
          <w:i w:val="false"/>
          <w:b w:val="false"/>
          <w:u w:val="none"/>
          <w:sz w:val="28"/>
          <w:szCs w:val="28"/>
          <w:color w:val="BEBEBE"/>
        </w:rPr>
        <w:t xml:space="preserve">FX Rates Table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83"/>
        <w:gridCol w:w="1364"/>
        <w:gridCol w:w="1768"/>
      </w:tblGrid>
      <w:tr>
        <w:trPr>
          <w:cantSplit/>
          <w:trHeight w:val="57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US Dollar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1.00 USD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inv. 1.00 USD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Euro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1.183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British Pound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1.386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Indian Rupee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74.531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0.013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Australian Dollar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0.748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Canadian Dollar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0.800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Singapore Dollar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1.353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0.739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Swiss Franc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1.093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Malaysian Ringgit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4.201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0.238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Japanese 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109.985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0.009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Chinese Yuan Renminbi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6.469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0.155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page 2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2021-07-14T22:45:03Z</dcterms:modified>
  <cp:category/>
</cp:coreProperties>
</file>