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60" w:lineRule="auto"/>
        <w:ind w:firstLine="720"/>
        <w:jc w:val="left"/>
        <w:rPr>
          <w:rFonts w:ascii="DM Sans" w:cs="DM Sans" w:eastAsia="DM Sans" w:hAnsi="DM Sans"/>
          <w:color w:val="ffffff"/>
          <w:sz w:val="78"/>
          <w:szCs w:val="78"/>
        </w:rPr>
      </w:pPr>
      <w:bookmarkStart w:colFirst="0" w:colLast="0" w:name="_z7aa5lnnbpf7" w:id="0"/>
      <w:bookmarkEnd w:id="0"/>
      <w:r w:rsidDel="00000000" w:rsidR="00000000" w:rsidRPr="00000000">
        <w:rPr>
          <w:rFonts w:ascii="DM Sans" w:cs="DM Sans" w:eastAsia="DM Sans" w:hAnsi="DM Sans"/>
          <w:color w:val="ffffff"/>
          <w:rtl w:val="0"/>
        </w:rPr>
        <w:tab/>
      </w:r>
      <w:r w:rsidDel="00000000" w:rsidR="00000000" w:rsidRPr="00000000">
        <w:rPr>
          <w:rFonts w:ascii="DM Sans" w:hAnsi="DM Sans" w:cs="DM Sans" w:eastAsia="DM Sans"/>
          <w:rtl w:val="0"/>
        </w:rPr>
      </w:r>
    </w:p>
    <w:p w:rsidR="00000000" w:rsidDel="00000000" w:rsidP="00000000" w:rsidRDefault="00000000" w:rsidRPr="00000000" w14:paraId="00000002">
      <w:pPr>
        <w:pStyle w:val="Title"/>
        <w:rPr>
          <w:rFonts w:ascii="DM Sans" w:hAnsi="DM Sans" w:cs="DM Sans" w:eastAsia="DM Sans"/>
          <w:color w:val="ffffff"/>
          <w:sz w:val="66"/>
          <w:szCs w:val="66"/>
        </w:rPr>
      </w:pPr>
      <w:bookmarkStart w:colFirst="0" w:colLast="0" w:name="_8o8uklyr3491" w:id="1"/>
      <w:bookmarkEnd w:id="1"/>
      <w:r w:rsidDel="00000000" w:rsidR="00000000" w:rsidRPr="00000000">
        <w:rPr>
          <w:rFonts w:ascii="DM Sans" w:hAnsi="DM Sans" w:cs="DM Sans" w:eastAsia="DM Sans"/>
          <w:color w:val="ffffff"/>
          <w:sz w:val="66"/>
          <w:szCs w:val="66"/>
          <w:rtl w:val="0"/>
        </w:rPr>
        <w:t xml:space="preserve">Security Assessment &amp; </w:t>
      </w:r>
    </w:p>
    <w:p w:rsidR="00000000" w:rsidDel="00000000" w:rsidP="00000000" w:rsidRDefault="00000000" w:rsidRPr="00000000" w14:paraId="00000003">
      <w:pPr>
        <w:pStyle w:val="Title"/>
        <w:rPr>
          <w:rFonts w:ascii="DM Sans" w:hAnsi="DM Sans" w:cs="DM Sans" w:eastAsia="DM Sans"/>
          <w:color w:val="ffffff"/>
          <w:sz w:val="66"/>
          <w:szCs w:val="66"/>
        </w:rPr>
      </w:pPr>
      <w:bookmarkStart w:colFirst="0" w:colLast="0" w:name="_nyed9ljvo4x" w:id="2"/>
      <w:bookmarkEnd w:id="2"/>
      <w:r w:rsidDel="00000000" w:rsidR="00000000" w:rsidRPr="00000000">
        <w:rPr>
          <w:rFonts w:ascii="DM Sans" w:hAnsi="DM Sans" w:cs="DM Sans" w:eastAsia="DM Sans"/>
          <w:color w:val="ffffff"/>
          <w:sz w:val="66"/>
          <w:szCs w:val="66"/>
          <w:rtl w:val="0"/>
        </w:rPr>
        <w:t xml:space="preserve">Formal Verification </w:t>
      </w:r>
    </w:p>
    <w:p w:rsidR="00000000" w:rsidDel="00000000" w:rsidP="00000000" w:rsidRDefault="00000000" w:rsidRPr="00000000" w14:paraId="00000004">
      <w:pPr>
        <w:pStyle w:val="Title"/>
        <w:rPr>
          <w:rFonts w:ascii="DM Sans" w:hAnsi="DM Sans" w:cs="DM Sans" w:eastAsia="DM Sans"/>
          <w:sz w:val="48"/>
          <w:szCs w:val="48"/>
        </w:rPr>
      </w:pPr>
      <w:r>
        <w:rPr>
          <w:rFonts w:ascii="DM Sans" w:cs="DM Sans" w:eastAsia="DM Sans" w:hAnsi="DM Sans"/>
          <w:color w:val="ffffff"/>
          <w:sz w:val="70"/>
          <w:szCs w:val="70"/>
          <w:rtl w:val="0"/>
        </w:rPr>
        <w:t xml:space="preserve">Draft Report</w:t>
      </w:r>
    </w:p>
    <w:p w:rsidR="00000000" w:rsidDel="00000000" w:rsidP="00000000" w:rsidRDefault="00000000" w:rsidRPr="00000000" w14:paraId="00000005">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6">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7">
      <w:pPr>
        <w:spacing w:line="240" w:lineRule="auto"/>
        <w:rPr>
          <w:color w:val="ffffff"/>
          <w:sz w:val="2"/>
          <w:szCs w:val="2"/>
        </w:rPr>
      </w:pPr>
      <w:r>
        <w:drawing>
          <wp:inline distB="0" distT="0" distL="114300" distR="114300">
            <wp:extent cx="2606040" cy="434861"/>
            <wp:effectExtent b="0" l="0" r="0" t="0"/>
            <wp:docPr id="30" name="Aave cover logo" descr="Aave"/>
            <a:graphic>
              <a:graphicData uri="http://schemas.openxmlformats.org/drawingml/2006/picture">
                <pic:pic>
                  <pic:nvPicPr>
                    <pic:cNvPr id="0" name="image3.png"/>
                    <pic:cNvPicPr preferRelativeResize="0"/>
                  </pic:nvPicPr>
                  <pic:blipFill>
                    <a:blip r:embed="rIdAaveCover"/>
                    <a:srcRect b="0" l="0" r="0" t="0"/>
                    <a:stretch>
                      <a:fillRect/>
                    </a:stretch>
                  </pic:blipFill>
                  <pic:spPr>
                    <a:xfrm>
                      <a:off x="0" y="0"/>
                      <a:ext cx="2606040" cy="434861"/>
                    </a:xfrm>
                    <a:prstGeom prst="rect"/>
                    <a:ln/>
                  </pic:spPr>
                </pic:pic>
              </a:graphicData>
            </a:graphic>
          </wp:inline>
        </w:drawing>
      </w:r>
    </w:p>
    <w:p w:rsidR="00000000" w:rsidDel="00000000" w:rsidP="00000000" w:rsidRDefault="00000000" w:rsidRPr="00000000" w14:paraId="00000008">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9">
      <w:pPr>
        <w:spacing w:line="240" w:lineRule="auto"/>
        <w:rPr>
          <w:rFonts w:ascii="Sora" w:cs="Sora" w:eastAsia="Sora" w:hAnsi="Sora"/>
          <w:color w:val="053b7d"/>
          <w:sz w:val="22"/>
          <w:szCs w:val="22"/>
        </w:rPr>
      </w:pPr>
      <w:r w:rsidDel="00000000" w:rsidR="00000000" w:rsidRPr="00000000">
        <w:rPr>
          <w:rtl w:val="0"/>
        </w:rPr>
      </w:r>
    </w:p>
    <w:p w:rsidR="00000000" w:rsidDel="00000000" w:rsidP="00000000" w:rsidRDefault="00000000" w:rsidRPr="00000000" w14:paraId="0000000A">
      <w:pPr>
        <w:spacing w:line="240" w:lineRule="auto"/>
        <w:rPr>
          <w:rFonts w:ascii="DM Sans" w:hAnsi="DM Sans" w:cs="DM Sans" w:eastAsia="DM Sans"/>
          <w:b w:val="1"/>
          <w:bCs w:val="1"/>
          <w:color w:val="ffffff"/>
          <w:sz w:val="2"/>
          <w:szCs w:val="2"/>
        </w:rPr>
      </w:pPr>
      <w:r>
        <w:rPr>
          <w:rFonts w:ascii="DM Sans" w:hAnsi="DM Sans" w:cs="DM Sans" w:eastAsia="DM Sans"/>
          <w:b w:val="1"/>
          <w:bCs w:val="1"/>
          <w:color w:val="ffffff"/>
          <w:sz w:val="84"/>
          <w:szCs w:val="84"/>
          <w:rtl w:val="0"/>
        </w:rPr>
        <w:t xml:space="preserve">Risk Steward V4</w:t>
      </w:r>
    </w:p>
    <w:p w:rsidR="00000000" w:rsidDel="00000000" w:rsidP="00000000" w:rsidRDefault="00000000" w:rsidRPr="00000000" w14:paraId="0000000B">
      <w:pPr>
        <w:spacing w:line="240" w:lineRule="auto"/>
        <w:rPr>
          <w:rFonts w:ascii="PT Mono" w:cs="PT Mono" w:eastAsia="PT Mono" w:hAnsi="PT Mono"/>
          <w:color w:val="ffffff"/>
          <w:sz w:val="38"/>
          <w:szCs w:val="38"/>
        </w:rPr>
      </w:pPr>
      <w:r>
        <w:rPr>
          <w:rFonts w:ascii="PT Mono" w:cs="PT Mono" w:eastAsia="PT Mono" w:hAnsi="PT Mono"/>
          <w:color w:val="ffffff"/>
          <w:sz w:val="38"/>
          <w:szCs w:val="38"/>
          <w:rtl w:val="0"/>
        </w:rPr>
        <w:t xml:space="preserve">September 2026</w:t>
      </w:r>
    </w:p>
    <w:p w:rsidR="00000000" w:rsidDel="00000000" w:rsidP="00000000" w:rsidRDefault="00000000" w:rsidRPr="00000000" w14:paraId="0000000C">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D">
      <w:pPr>
        <w:spacing w:line="240" w:lineRule="auto"/>
        <w:rPr>
          <w:b w:val="1"/>
          <w:bCs w:val="1"/>
          <w:color w:val="ffffff"/>
          <w:sz w:val="18"/>
          <w:szCs w:val="18"/>
        </w:rPr>
      </w:pPr>
      <w:r>
        <w:rPr>
          <w:rFonts w:ascii="PT Mono" w:cs="PT Mono" w:eastAsia="PT Mono" w:hAnsi="PT Mono"/>
          <w:color w:val="ffffff"/>
          <w:sz w:val="32"/>
          <w:szCs w:val="32"/>
          <w:rtl w:val="0"/>
        </w:rPr>
        <w:t xml:space="preserve">Prepared for Aave</w:t>
      </w:r>
    </w:p>
    <w:p w:rsidR="00000000" w:rsidDel="00000000" w:rsidP="00000000" w:rsidRDefault="00000000" w:rsidRPr="00000000" w14:paraId="0000000E">
      <w:pPr>
        <w:pStyle w:val="Title"/>
        <w:rPr>
          <w:rFonts w:ascii="DM Sans" w:hAnsi="DM Sans" w:cs="DM Sans" w:eastAsia="DM Sans"/>
          <w:sz w:val="70"/>
          <w:szCs w:val="70"/>
        </w:rPr>
      </w:pPr>
      <w:bookmarkStart w:colFirst="0" w:colLast="0" w:name="_yrwfwjg4rnvy" w:id="4"/>
      <w:bookmarkEnd w:id="4"/>
      <w:r w:rsidDel="00000000" w:rsidR="00000000" w:rsidRPr="00000000">
        <w:rPr>
          <w:rFonts w:ascii="DM Sans" w:hAnsi="DM Sans" w:cs="DM Sans" w:eastAsia="DM Sans"/>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pPr>
        <w:keepNext w:val="1"/>
        <w:pageBreakBefore w:val="1"/>
        <w:rPr>
          <w:rFonts w:ascii="DM Sans" w:hAnsi="DM Sans" w:cs="DM Sans" w:eastAsia="DM Sans"/>
          <w:b w:val="1"/>
          <w:bCs w:val="1"/>
          <w:sz w:val="36"/>
          <w:szCs w:val="36"/>
        </w:rPr>
      </w:pPr>
      <w:bookmarkStart w:id="2001" w:name="contents"/>
      <w:r>
        <w:rPr>
          <w:rFonts w:ascii="DM Sans" w:hAnsi="DM Sans" w:cs="DM Sans" w:eastAsia="DM Sans"/>
          <w:b w:val="1"/>
          <w:bCs w:val="1"/>
          <w:sz w:val="36"/>
          <w:szCs w:val="36"/>
          <w:rtl w:val="0"/>
        </w:rPr>
        <w:t xml:space="preserve">Table of Contents</w:t>
      </w:r>
      <w:bookmarkEnd w:id="2001"/>
    </w:p>
    <w:sdt>
      <w:sdtPr>
        <w:id w:val="-1110498183"/>
        <w:docPartObj>
          <w:docPartGallery w:val="Table of Contents"/>
          <w:docPartUnique w:val="1"/>
        </w:docPartObj>
      </w:sdtPr>
      <w:sdtContent>
        <w:p>
          <w:pPr>
            <w:widowControl w:val="0"/>
            <w:tabs>
              <w:tab w:val="right" w:leader="dot" w:pos="10600"/>
            </w:tabs>
            <w:spacing w:before="0" w:line="240" w:lineRule="auto" w:after="30"/>
            <w:ind w:left="0" w:firstLine="0"/>
            <w:rPr>
              <w:b w:val="1"/>
              <w:bCs w:val="1"/>
              <w:i w:val="0"/>
              <w:iCs w:val="0"/>
              <w:smallCaps w:val="0"/>
              <w:strike w:val="0"/>
              <w:color w:val="000000"/>
              <w:sz w:val="22"/>
              <w:szCs w:val="22"/>
              <w:u w:val="none"/>
              <w:shd w:fill="auto" w:val="clear"/>
              <w:vertAlign w:val="baseline"/>
            </w:rPr>
          </w:pPr>
          <w:r>
            <w:fldChar w:fldCharType="begin"/>
          </w:r>
          <w:r>
            <w:instrText> TOC \h \z \o "1-2" </w:instrText>
          </w:r>
          <w:r>
            <w:fldChar w:fldCharType="separate"/>
          </w:r>
          <w:hyperlink w:anchor="summary">
            <w:r>
              <w:rPr>
                <w:b w:val="1"/>
                <w:sz w:val="22"/>
                <w:szCs w:val="22"/>
              </w:rPr>
              <w:t xml:space="preserve">Project Summary</w:t>
            </w:r>
          </w:hyperlink>
          <w:r>
            <w:tab/>
          </w:r>
          <w:r>
            <w:fldChar w:fldCharType="begin"/>
          </w:r>
          <w:r>
            <w:instrText> PAGEREF summary \h </w:instrText>
          </w:r>
          <w:r>
            <w:fldChar w:fldCharType="separate"/>
          </w:r>
          <w:r>
            <w:rPr>
              <w:b w:val="1"/>
              <w:sz w:val="22"/>
              <w:szCs w:val="22"/>
            </w:rPr>
            <w:t xml:space="preserve">4</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scope">
            <w:r>
              <w:rPr>
                <w:b w:val="0"/>
                <w:sz w:val="22"/>
                <w:szCs w:val="22"/>
              </w:rPr>
              <w:t xml:space="preserve">Project Scope</w:t>
            </w:r>
          </w:hyperlink>
          <w:r>
            <w:tab/>
          </w:r>
          <w:r>
            <w:fldChar w:fldCharType="begin"/>
          </w:r>
          <w:r>
            <w:instrText> PAGEREF scope \h </w:instrText>
          </w:r>
          <w:r>
            <w:fldChar w:fldCharType="separate"/>
          </w:r>
          <w:r>
            <w:rPr>
              <w:b w:val="0"/>
              <w:sz w:val="22"/>
              <w:szCs w:val="22"/>
            </w:rPr>
            <w:t xml:space="preserve">4</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ject_overview">
            <w:r>
              <w:rPr>
                <w:b w:val="0"/>
                <w:sz w:val="22"/>
                <w:szCs w:val="22"/>
              </w:rPr>
              <w:t xml:space="preserve">Project Overview</w:t>
            </w:r>
          </w:hyperlink>
          <w:r>
            <w:tab/>
          </w:r>
          <w:r>
            <w:fldChar w:fldCharType="begin"/>
          </w:r>
          <w:r>
            <w:instrText> PAGEREF project_overview \h </w:instrText>
          </w:r>
          <w:r>
            <w:fldChar w:fldCharType="separate"/>
          </w:r>
          <w:r>
            <w:rPr>
              <w:b w:val="0"/>
              <w:sz w:val="22"/>
              <w:szCs w:val="22"/>
            </w:rPr>
            <w:t xml:space="preserve">4</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tocol_overview">
            <w:r>
              <w:rPr>
                <w:b w:val="0"/>
                <w:sz w:val="22"/>
                <w:szCs w:val="22"/>
              </w:rPr>
              <w:t xml:space="preserve">Protocol Overview</w:t>
            </w:r>
          </w:hyperlink>
          <w:r>
            <w:tab/>
          </w:r>
          <w:r>
            <w:fldChar w:fldCharType="begin"/>
          </w:r>
          <w:r>
            <w:instrText> PAGEREF protocol_overview \h </w:instrText>
          </w:r>
          <w:r>
            <w:fldChar w:fldCharType="separate"/>
          </w:r>
          <w:r>
            <w:rPr>
              <w:b w:val="0"/>
              <w:sz w:val="22"/>
              <w:szCs w:val="22"/>
            </w:rPr>
            <w:t xml:space="preserve">4</w:t>
          </w:r>
          <w:r>
            <w:fldChar w:fldCharType="end"/>
          </w:r>
        </w:p>
        <w:p>
          <w:pPr>
            <w:widowControl w:val="0"/>
            <w:tabs>
              <w:tab w:val="right" w:leader="dot" w:pos="10600"/>
            </w:tabs>
            <w:spacing w:before="0" w:line="240" w:lineRule="auto" w:after="30"/>
            <w:ind w:left="0" w:firstLine="0"/>
            <w:rPr>
              <w:b w:val="1"/>
              <w:bCs w:val="1"/>
              <w:i w:val="0"/>
              <w:iCs w:val="0"/>
              <w:smallCaps w:val="0"/>
              <w:strike w:val="0"/>
              <w:color w:val="000000"/>
              <w:sz w:val="22"/>
              <w:szCs w:val="22"/>
              <w:u w:val="none"/>
              <w:shd w:fill="auto" w:val="clear"/>
              <w:vertAlign w:val="baseline"/>
            </w:rPr>
          </w:pPr>
          <w:hyperlink w:anchor="threat">
            <w:r>
              <w:rPr>
                <w:b w:val="1"/>
                <w:sz w:val="22"/>
                <w:szCs w:val="22"/>
              </w:rPr>
              <w:t xml:space="preserve">Threat and Security Overview</w:t>
            </w:r>
          </w:hyperlink>
          <w:r>
            <w:tab/>
          </w:r>
          <w:r>
            <w:fldChar w:fldCharType="begin"/>
          </w:r>
          <w:r>
            <w:instrText> PAGEREF threat \h </w:instrText>
          </w:r>
          <w:r>
            <w:fldChar w:fldCharType="separate"/>
          </w:r>
          <w:r>
            <w:rPr>
              <w:b w:val="1"/>
              <w:sz w:val="22"/>
              <w:szCs w:val="22"/>
            </w:rPr>
            <w:t xml:space="preserve">5</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findings_summary">
            <w:r>
              <w:rPr>
                <w:b w:val="0"/>
                <w:sz w:val="22"/>
                <w:szCs w:val="22"/>
              </w:rPr>
              <w:t xml:space="preserve">Findings Summary</w:t>
            </w:r>
          </w:hyperlink>
          <w:r>
            <w:tab/>
          </w:r>
          <w:r>
            <w:fldChar w:fldCharType="begin"/>
          </w:r>
          <w:r>
            <w:instrText> PAGEREF findings_summary \h </w:instrText>
          </w:r>
          <w:r>
            <w:fldChar w:fldCharType="separate"/>
          </w:r>
          <w:r>
            <w:rPr>
              <w:b w:val="0"/>
              <w:sz w:val="22"/>
              <w:szCs w:val="22"/>
            </w:rPr>
            <w:t xml:space="preserve">6</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matrix">
            <w:r>
              <w:rPr>
                <w:b w:val="0"/>
                <w:sz w:val="22"/>
                <w:szCs w:val="22"/>
              </w:rPr>
              <w:t xml:space="preserve">Severity Matrix</w:t>
            </w:r>
          </w:hyperlink>
          <w:r>
            <w:tab/>
          </w:r>
          <w:r>
            <w:fldChar w:fldCharType="begin"/>
          </w:r>
          <w:r>
            <w:instrText> PAGEREF matrix \h </w:instrText>
          </w:r>
          <w:r>
            <w:fldChar w:fldCharType="separate"/>
          </w:r>
          <w:r>
            <w:rPr>
              <w:b w:val="0"/>
              <w:sz w:val="22"/>
              <w:szCs w:val="22"/>
            </w:rPr>
            <w:t xml:space="preserve">6</w:t>
          </w:r>
          <w:r>
            <w:fldChar w:fldCharType="end"/>
          </w:r>
        </w:p>
        <w:p>
          <w:pPr>
            <w:widowControl w:val="0"/>
            <w:tabs>
              <w:tab w:val="right" w:leader="dot" w:pos="10600"/>
            </w:tabs>
            <w:spacing w:before="0" w:line="240" w:lineRule="auto" w:after="30"/>
            <w:ind w:left="0" w:firstLine="0"/>
            <w:rPr>
              <w:b w:val="1"/>
              <w:bCs w:val="1"/>
              <w:i w:val="0"/>
              <w:iCs w:val="0"/>
              <w:smallCaps w:val="0"/>
              <w:strike w:val="0"/>
              <w:color w:val="000000"/>
              <w:sz w:val="22"/>
              <w:szCs w:val="22"/>
              <w:u w:val="none"/>
              <w:shd w:fill="auto" w:val="clear"/>
              <w:vertAlign w:val="baseline"/>
            </w:rPr>
          </w:pPr>
          <w:hyperlink w:anchor="findings">
            <w:r>
              <w:rPr>
                <w:b w:val="1"/>
                <w:sz w:val="22"/>
                <w:szCs w:val="22"/>
              </w:rPr>
              <w:t xml:space="preserve">Detailed Findings</w:t>
            </w:r>
          </w:hyperlink>
          <w:r>
            <w:tab/>
          </w:r>
          <w:r>
            <w:fldChar w:fldCharType="begin"/>
          </w:r>
          <w:r>
            <w:instrText> PAGEREF findings \h </w:instrText>
          </w:r>
          <w:r>
            <w:fldChar w:fldCharType="separate"/>
          </w:r>
          <w:r>
            <w:rPr>
              <w:b w:val="1"/>
              <w:sz w:val="22"/>
              <w:szCs w:val="22"/>
            </w:rPr>
            <w:t xml:space="preserve">7</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critical">
            <w:r>
              <w:rPr>
                <w:b w:val="0"/>
                <w:sz w:val="22"/>
                <w:szCs w:val="22"/>
              </w:rPr>
              <w:t xml:space="preserve">Critical Severity Issues</w:t>
            </w:r>
          </w:hyperlink>
          <w:r>
            <w:tab/>
          </w:r>
          <w:r>
            <w:fldChar w:fldCharType="begin"/>
          </w:r>
          <w:r>
            <w:instrText> PAGEREF critical \h </w:instrText>
          </w:r>
          <w:r>
            <w:fldChar w:fldCharType="separate"/>
          </w:r>
          <w:r>
            <w:rPr>
              <w:b w:val="0"/>
              <w:sz w:val="22"/>
              <w:szCs w:val="22"/>
            </w:rPr>
            <w:t xml:space="preserve">7</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high">
            <w:r>
              <w:rPr>
                <w:b w:val="0"/>
                <w:sz w:val="22"/>
                <w:szCs w:val="22"/>
              </w:rPr>
              <w:t xml:space="preserve">High Severity Issues</w:t>
            </w:r>
          </w:hyperlink>
          <w:r>
            <w:tab/>
          </w:r>
          <w:r>
            <w:fldChar w:fldCharType="begin"/>
          </w:r>
          <w:r>
            <w:instrText> PAGEREF high \h </w:instrText>
          </w:r>
          <w:r>
            <w:fldChar w:fldCharType="separate"/>
          </w:r>
          <w:r>
            <w:rPr>
              <w:b w:val="0"/>
              <w:sz w:val="22"/>
              <w:szCs w:val="22"/>
            </w:rPr>
            <w:t xml:space="preserve">7</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medium">
            <w:r>
              <w:rPr>
                <w:b w:val="0"/>
                <w:sz w:val="22"/>
                <w:szCs w:val="22"/>
              </w:rPr>
              <w:t xml:space="preserve">Medium Severity Issues</w:t>
            </w:r>
          </w:hyperlink>
          <w:r>
            <w:tab/>
          </w:r>
          <w:r>
            <w:fldChar w:fldCharType="begin"/>
          </w:r>
          <w:r>
            <w:instrText> PAGEREF medium \h </w:instrText>
          </w:r>
          <w:r>
            <w:fldChar w:fldCharType="separate"/>
          </w:r>
          <w:r>
            <w:rPr>
              <w:b w:val="0"/>
              <w:sz w:val="22"/>
              <w:szCs w:val="22"/>
            </w:rPr>
            <w:t xml:space="preserve">7</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l_01">
            <w:r>
              <w:rPr>
                <w:b w:val="0"/>
                <w:sz w:val="22"/>
                <w:szCs w:val="22"/>
              </w:rPr>
              <w:t xml:space="preserve">L-01. A no-op configurator can make an update falsely succeed</w:t>
            </w:r>
          </w:hyperlink>
          <w:r>
            <w:tab/>
          </w:r>
          <w:r>
            <w:fldChar w:fldCharType="begin"/>
          </w:r>
          <w:r>
            <w:instrText> PAGEREF l_01 \h </w:instrText>
          </w:r>
          <w:r>
            <w:fldChar w:fldCharType="separate"/>
          </w:r>
          <w:r>
            <w:rPr>
              <w:b w:val="0"/>
              <w:sz w:val="22"/>
              <w:szCs w:val="22"/>
            </w:rPr>
            <w:t xml:space="preserve">8</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l_02">
            <w:r>
              <w:rPr>
                <w:b w:val="0"/>
                <w:sz w:val="22"/>
                <w:szCs w:val="22"/>
              </w:rPr>
              <w:t xml:space="preserve">L-02. Zero minimum delay permits repeated changes in one block</w:t>
            </w:r>
          </w:hyperlink>
          <w:r>
            <w:tab/>
          </w:r>
          <w:r>
            <w:fldChar w:fldCharType="begin"/>
          </w:r>
          <w:r>
            <w:instrText> PAGEREF l_02 \h </w:instrText>
          </w:r>
          <w:r>
            <w:fldChar w:fldCharType="separate"/>
          </w:r>
          <w:r>
            <w:rPr>
              <w:b w:val="0"/>
              <w:sz w:val="22"/>
              <w:szCs w:val="22"/>
            </w:rPr>
            <w:t xml:space="preserve">9</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i_01">
            <w:r>
              <w:rPr>
                <w:b w:val="0"/>
                <w:sz w:val="22"/>
                <w:szCs w:val="22"/>
              </w:rPr>
              <w:t xml:space="preserve">I-01. Stable and Pendle sentinels are rejected only by SafeCast</w:t>
            </w:r>
          </w:hyperlink>
          <w:r>
            <w:tab/>
          </w:r>
          <w:r>
            <w:fldChar w:fldCharType="begin"/>
          </w:r>
          <w:r>
            <w:instrText> PAGEREF i_01 \h </w:instrText>
          </w:r>
          <w:r>
            <w:fldChar w:fldCharType="separate"/>
          </w:r>
          <w:r>
            <w:rPr>
              <w:b w:val="0"/>
              <w:sz w:val="22"/>
              <w:szCs w:val="22"/>
            </w:rPr>
            <w:t xml:space="preserve">10</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i_02">
            <w:r>
              <w:rPr>
                <w:b w:val="0"/>
                <w:sz w:val="22"/>
                <w:szCs w:val="22"/>
              </w:rPr>
              <w:t xml:space="preserve">I-02. LST magnitude limits cover only the growth-rate input</w:t>
            </w:r>
          </w:hyperlink>
          <w:r>
            <w:tab/>
          </w:r>
          <w:r>
            <w:fldChar w:fldCharType="begin"/>
          </w:r>
          <w:r>
            <w:instrText> PAGEREF i_02 \h </w:instrText>
          </w:r>
          <w:r>
            <w:fldChar w:fldCharType="separate"/>
          </w:r>
          <w:r>
            <w:rPr>
              <w:b w:val="0"/>
              <w:sz w:val="22"/>
              <w:szCs w:val="22"/>
            </w:rPr>
            <w:t xml:space="preserve">11</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i_03">
            <w:r>
              <w:rPr>
                <w:b w:val="0"/>
                <w:sz w:val="22"/>
                <w:szCs w:val="22"/>
              </w:rPr>
              <w:t xml:space="preserve">I-03. Relative limits cannot raise a parameter from zero</w:t>
            </w:r>
          </w:hyperlink>
          <w:r>
            <w:tab/>
          </w:r>
          <w:r>
            <w:fldChar w:fldCharType="begin"/>
          </w:r>
          <w:r>
            <w:instrText> PAGEREF i_03 \h </w:instrText>
          </w:r>
          <w:r>
            <w:fldChar w:fldCharType="separate"/>
          </w:r>
          <w:r>
            <w:rPr>
              <w:b w:val="0"/>
              <w:sz w:val="22"/>
              <w:szCs w:val="22"/>
            </w:rPr>
            <w:t xml:space="preserve">12</w:t>
          </w:r>
          <w:r>
            <w:fldChar w:fldCharType="end"/>
          </w:r>
        </w:p>
        <w:p>
          <w:pPr>
            <w:widowControl w:val="0"/>
            <w:tabs>
              <w:tab w:val="right" w:leader="dot" w:pos="10600"/>
            </w:tabs>
            <w:spacing w:before="0" w:line="240" w:lineRule="auto" w:after="30"/>
            <w:ind w:left="0" w:firstLine="0"/>
            <w:rPr>
              <w:b w:val="1"/>
              <w:bCs w:val="1"/>
              <w:i w:val="0"/>
              <w:iCs w:val="0"/>
              <w:smallCaps w:val="0"/>
              <w:strike w:val="0"/>
              <w:color w:val="000000"/>
              <w:sz w:val="22"/>
              <w:szCs w:val="22"/>
              <w:u w:val="none"/>
              <w:shd w:fill="auto" w:val="clear"/>
              <w:vertAlign w:val="baseline"/>
            </w:rPr>
          </w:pPr>
          <w:hyperlink w:anchor="formal_verification">
            <w:r>
              <w:rPr>
                <w:b w:val="1"/>
                <w:sz w:val="22"/>
                <w:szCs w:val="22"/>
              </w:rPr>
              <w:t xml:space="preserve">Formal Verification</w:t>
            </w:r>
          </w:hyperlink>
          <w:r>
            <w:tab/>
          </w:r>
          <w:r>
            <w:fldChar w:fldCharType="begin"/>
          </w:r>
          <w:r>
            <w:instrText> PAGEREF formal_verification \h </w:instrText>
          </w:r>
          <w:r>
            <w:fldChar w:fldCharType="separate"/>
          </w:r>
          <w:r>
            <w:rPr>
              <w:b w:val="1"/>
              <w:sz w:val="22"/>
              <w:szCs w:val="22"/>
            </w:rPr>
            <w:t xml:space="preserve">13</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methodology">
            <w:r>
              <w:rPr>
                <w:b w:val="0"/>
                <w:sz w:val="22"/>
                <w:szCs w:val="22"/>
              </w:rPr>
              <w:t xml:space="preserve">Verification Methodology (Solidity)</w:t>
            </w:r>
          </w:hyperlink>
          <w:r>
            <w:tab/>
          </w:r>
          <w:r>
            <w:fldChar w:fldCharType="begin"/>
          </w:r>
          <w:r>
            <w:instrText> PAGEREF methodology \h </w:instrText>
          </w:r>
          <w:r>
            <w:fldChar w:fldCharType="separate"/>
          </w:r>
          <w:r>
            <w:rPr>
              <w:b w:val="0"/>
              <w:sz w:val="22"/>
              <w:szCs w:val="22"/>
            </w:rPr>
            <w:t xml:space="preserve">13</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mutation">
            <w:r>
              <w:rPr>
                <w:b w:val="0"/>
                <w:sz w:val="22"/>
                <w:szCs w:val="22"/>
              </w:rPr>
              <w:t xml:space="preserve">Recorded Mutation Campaign</w:t>
            </w:r>
          </w:hyperlink>
          <w:r>
            <w:tab/>
          </w:r>
          <w:r>
            <w:fldChar w:fldCharType="begin"/>
          </w:r>
          <w:r>
            <w:instrText> PAGEREF mutation \h </w:instrText>
          </w:r>
          <w:r>
            <w:fldChar w:fldCharType="separate"/>
          </w:r>
          <w:r>
            <w:rPr>
              <w:b w:val="0"/>
              <w:sz w:val="22"/>
              <w:szCs w:val="22"/>
            </w:rPr>
            <w:t xml:space="preserve">13</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notations">
            <w:r>
              <w:rPr>
                <w:b w:val="0"/>
                <w:sz w:val="22"/>
                <w:szCs w:val="22"/>
              </w:rPr>
              <w:t xml:space="preserve">Verification Notations</w:t>
            </w:r>
          </w:hyperlink>
          <w:r>
            <w:tab/>
          </w:r>
          <w:r>
            <w:fldChar w:fldCharType="begin"/>
          </w:r>
          <w:r>
            <w:instrText> PAGEREF notations \h </w:instrText>
          </w:r>
          <w:r>
            <w:fldChar w:fldCharType="separate"/>
          </w:r>
          <w:r>
            <w:rPr>
              <w:b w:val="0"/>
              <w:sz w:val="22"/>
              <w:szCs w:val="22"/>
            </w:rPr>
            <w:t xml:space="preserve">14</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assumptions">
            <w:r>
              <w:rPr>
                <w:b w:val="0"/>
                <w:sz w:val="22"/>
                <w:szCs w:val="22"/>
              </w:rPr>
              <w:t xml:space="preserve">General Assumptions and Simplifications</w:t>
            </w:r>
          </w:hyperlink>
          <w:r>
            <w:tab/>
          </w:r>
          <w:r>
            <w:fldChar w:fldCharType="begin"/>
          </w:r>
          <w:r>
            <w:instrText> PAGEREF assumptions \h </w:instrText>
          </w:r>
          <w:r>
            <w:fldChar w:fldCharType="separate"/>
          </w:r>
          <w:r>
            <w:rPr>
              <w:b w:val="0"/>
              <w:sz w:val="22"/>
              <w:szCs w:val="22"/>
            </w:rPr>
            <w:t xml:space="preserve">15</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ies_overview">
            <w:r>
              <w:rPr>
                <w:b w:val="0"/>
                <w:sz w:val="22"/>
                <w:szCs w:val="22"/>
              </w:rPr>
              <w:t xml:space="preserve">Formal Verification Properties Overview</w:t>
            </w:r>
          </w:hyperlink>
          <w:r>
            <w:tab/>
          </w:r>
          <w:r>
            <w:fldChar w:fldCharType="begin"/>
          </w:r>
          <w:r>
            <w:instrText> PAGEREF properties_overview \h </w:instrText>
          </w:r>
          <w:r>
            <w:fldChar w:fldCharType="separate"/>
          </w:r>
          <w:r>
            <w:rPr>
              <w:b w:val="0"/>
              <w:sz w:val="22"/>
              <w:szCs w:val="22"/>
            </w:rPr>
            <w:t xml:space="preserve">17</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detailed_properties">
            <w:r>
              <w:rPr>
                <w:b w:val="0"/>
                <w:sz w:val="22"/>
                <w:szCs w:val="22"/>
              </w:rPr>
              <w:t xml:space="preserve">Detailed Properties</w:t>
            </w:r>
          </w:hyperlink>
          <w:r>
            <w:tab/>
          </w:r>
          <w:r>
            <w:fldChar w:fldCharType="begin"/>
          </w:r>
          <w:r>
            <w:instrText> PAGEREF detailed_properties \h </w:instrText>
          </w:r>
          <w:r>
            <w:fldChar w:fldCharType="separate"/>
          </w:r>
          <w:r>
            <w:rPr>
              <w:b w:val="0"/>
              <w:sz w:val="22"/>
              <w:szCs w:val="22"/>
            </w:rPr>
            <w:t xml:space="preserve">20</w:t>
          </w:r>
          <w:r>
            <w:fldChar w:fldCharType="end"/>
          </w:r>
        </w:p>
        <w:p>
          <w:pPr>
            <w:pageBreakBefore w:val="1"/>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1">
            <w:r>
              <w:rPr>
                <w:b w:val="0"/>
                <w:sz w:val="22"/>
                <w:szCs w:val="22"/>
              </w:rPr>
              <w:t xml:space="preserve">P-01. Council authorization.</w:t>
            </w:r>
          </w:hyperlink>
          <w:r>
            <w:tab/>
          </w:r>
          <w:r>
            <w:fldChar w:fldCharType="begin"/>
          </w:r>
          <w:r>
            <w:instrText> PAGEREF property_01 \h </w:instrText>
          </w:r>
          <w:r>
            <w:fldChar w:fldCharType="separate"/>
          </w:r>
          <w:r>
            <w:rPr>
              <w:b w:val="0"/>
              <w:sz w:val="22"/>
              <w:szCs w:val="22"/>
            </w:rPr>
            <w:t xml:space="preserve">20</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2">
            <w:r>
              <w:rPr>
                <w:b w:val="0"/>
                <w:sz w:val="22"/>
                <w:szCs w:val="22"/>
              </w:rPr>
              <w:t xml:space="preserve">P-02. Owner authorization.</w:t>
            </w:r>
          </w:hyperlink>
          <w:r>
            <w:tab/>
          </w:r>
          <w:r>
            <w:fldChar w:fldCharType="begin"/>
          </w:r>
          <w:r>
            <w:instrText> PAGEREF property_02 \h </w:instrText>
          </w:r>
          <w:r>
            <w:fldChar w:fldCharType="separate"/>
          </w:r>
          <w:r>
            <w:rPr>
              <w:b w:val="0"/>
              <w:sz w:val="22"/>
              <w:szCs w:val="22"/>
            </w:rPr>
            <w:t xml:space="preserve">21</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3">
            <w:r>
              <w:rPr>
                <w:b w:val="0"/>
                <w:sz w:val="22"/>
                <w:szCs w:val="22"/>
              </w:rPr>
              <w:t xml:space="preserve">P-03. Restricted addresses.</w:t>
            </w:r>
          </w:hyperlink>
          <w:r>
            <w:tab/>
          </w:r>
          <w:r>
            <w:fldChar w:fldCharType="begin"/>
          </w:r>
          <w:r>
            <w:instrText> PAGEREF property_03 \h </w:instrText>
          </w:r>
          <w:r>
            <w:fldChar w:fldCharType="separate"/>
          </w:r>
          <w:r>
            <w:rPr>
              <w:b w:val="0"/>
              <w:sz w:val="22"/>
              <w:szCs w:val="22"/>
            </w:rPr>
            <w:t xml:space="preserve">21</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4">
            <w:r>
              <w:rPr>
                <w:b w:val="0"/>
                <w:sz w:val="22"/>
                <w:szCs w:val="22"/>
              </w:rPr>
              <w:t xml:space="preserve">P-04. Configuration integrity.</w:t>
            </w:r>
          </w:hyperlink>
          <w:r>
            <w:tab/>
          </w:r>
          <w:r>
            <w:fldChar w:fldCharType="begin"/>
          </w:r>
          <w:r>
            <w:instrText> PAGEREF property_04 \h </w:instrText>
          </w:r>
          <w:r>
            <w:fldChar w:fldCharType="separate"/>
          </w:r>
          <w:r>
            <w:rPr>
              <w:b w:val="0"/>
              <w:sz w:val="22"/>
              <w:szCs w:val="22"/>
            </w:rPr>
            <w:t xml:space="preserve">23</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5">
            <w:r>
              <w:rPr>
                <w:b w:val="0"/>
                <w:sz w:val="22"/>
                <w:szCs w:val="22"/>
              </w:rPr>
              <w:t xml:space="preserve">P-05. Input scope confinement.</w:t>
            </w:r>
          </w:hyperlink>
          <w:r>
            <w:tab/>
          </w:r>
          <w:r>
            <w:fldChar w:fldCharType="begin"/>
          </w:r>
          <w:r>
            <w:instrText> PAGEREF property_05 \h </w:instrText>
          </w:r>
          <w:r>
            <w:fldChar w:fldCharType="separate"/>
          </w:r>
          <w:r>
            <w:rPr>
              <w:b w:val="0"/>
              <w:sz w:val="22"/>
              <w:szCs w:val="22"/>
            </w:rPr>
            <w:t xml:space="preserve">24</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6">
            <w:r>
              <w:rPr>
                <w:b w:val="0"/>
                <w:sz w:val="22"/>
                <w:szCs w:val="22"/>
              </w:rPr>
              <w:t xml:space="preserve">P-06. Configurator pinning.</w:t>
            </w:r>
          </w:hyperlink>
          <w:r>
            <w:tab/>
          </w:r>
          <w:r>
            <w:fldChar w:fldCharType="begin"/>
          </w:r>
          <w:r>
            <w:instrText> PAGEREF property_06 \h </w:instrText>
          </w:r>
          <w:r>
            <w:fldChar w:fldCharType="separate"/>
          </w:r>
          <w:r>
            <w:rPr>
              <w:b w:val="0"/>
              <w:sz w:val="22"/>
              <w:szCs w:val="22"/>
            </w:rPr>
            <w:t xml:space="preserve">25</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7">
            <w:r>
              <w:rPr>
                <w:b w:val="0"/>
                <w:sz w:val="22"/>
                <w:szCs w:val="22"/>
              </w:rPr>
              <w:t xml:space="preserve">P-07. Required non-zero inputs.</w:t>
            </w:r>
          </w:hyperlink>
          <w:r>
            <w:tab/>
          </w:r>
          <w:r>
            <w:fldChar w:fldCharType="begin"/>
          </w:r>
          <w:r>
            <w:instrText> PAGEREF property_07 \h </w:instrText>
          </w:r>
          <w:r>
            <w:fldChar w:fldCharType="separate"/>
          </w:r>
          <w:r>
            <w:rPr>
              <w:b w:val="0"/>
              <w:sz w:val="22"/>
              <w:szCs w:val="22"/>
            </w:rPr>
            <w:t xml:space="preserve">26</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8">
            <w:r>
              <w:rPr>
                <w:b w:val="0"/>
                <w:sz w:val="22"/>
                <w:szCs w:val="22"/>
              </w:rPr>
              <w:t xml:space="preserve">P-08. Oracle input gates.</w:t>
            </w:r>
          </w:hyperlink>
          <w:r>
            <w:tab/>
          </w:r>
          <w:r>
            <w:fldChar w:fldCharType="begin"/>
          </w:r>
          <w:r>
            <w:instrText> PAGEREF property_08 \h </w:instrText>
          </w:r>
          <w:r>
            <w:fldChar w:fldCharType="separate"/>
          </w:r>
          <w:r>
            <w:rPr>
              <w:b w:val="0"/>
              <w:sz w:val="22"/>
              <w:szCs w:val="22"/>
            </w:rPr>
            <w:t xml:space="preserve">27</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09">
            <w:r>
              <w:rPr>
                <w:b w:val="0"/>
                <w:sz w:val="22"/>
                <w:szCs w:val="22"/>
              </w:rPr>
              <w:t xml:space="preserve">P-09. Protocol debounce stamping.</w:t>
            </w:r>
          </w:hyperlink>
          <w:r>
            <w:tab/>
          </w:r>
          <w:r>
            <w:fldChar w:fldCharType="begin"/>
          </w:r>
          <w:r>
            <w:instrText> PAGEREF property_09 \h </w:instrText>
          </w:r>
          <w:r>
            <w:fldChar w:fldCharType="separate"/>
          </w:r>
          <w:r>
            <w:rPr>
              <w:b w:val="0"/>
              <w:sz w:val="22"/>
              <w:szCs w:val="22"/>
            </w:rPr>
            <w:t xml:space="preserve">28</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0">
            <w:r>
              <w:rPr>
                <w:b w:val="0"/>
                <w:sz w:val="22"/>
                <w:szCs w:val="22"/>
              </w:rPr>
              <w:t xml:space="preserve">P-10. Minimum-delay enforcement.</w:t>
            </w:r>
          </w:hyperlink>
          <w:r>
            <w:tab/>
          </w:r>
          <w:r>
            <w:fldChar w:fldCharType="begin"/>
          </w:r>
          <w:r>
            <w:instrText> PAGEREF property_10 \h </w:instrText>
          </w:r>
          <w:r>
            <w:fldChar w:fldCharType="separate"/>
          </w:r>
          <w:r>
            <w:rPr>
              <w:b w:val="0"/>
              <w:sz w:val="22"/>
              <w:szCs w:val="22"/>
            </w:rPr>
            <w:t xml:space="preserve">29</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1">
            <w:r>
              <w:rPr>
                <w:b w:val="0"/>
                <w:sz w:val="22"/>
                <w:szCs w:val="22"/>
              </w:rPr>
              <w:t xml:space="preserve">P-11. Debounce storage integrity.</w:t>
            </w:r>
          </w:hyperlink>
          <w:r>
            <w:tab/>
          </w:r>
          <w:r>
            <w:fldChar w:fldCharType="begin"/>
          </w:r>
          <w:r>
            <w:instrText> PAGEREF property_11 \h </w:instrText>
          </w:r>
          <w:r>
            <w:fldChar w:fldCharType="separate"/>
          </w:r>
          <w:r>
            <w:rPr>
              <w:b w:val="0"/>
              <w:sz w:val="22"/>
              <w:szCs w:val="22"/>
            </w:rPr>
            <w:t xml:space="preserve">31</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2">
            <w:r>
              <w:rPr>
                <w:b w:val="0"/>
                <w:sz w:val="22"/>
                <w:szCs w:val="22"/>
              </w:rPr>
              <w:t xml:space="preserve">P-12. Oracle debounce stamping.</w:t>
            </w:r>
          </w:hyperlink>
          <w:r>
            <w:tab/>
          </w:r>
          <w:r>
            <w:fldChar w:fldCharType="begin"/>
          </w:r>
          <w:r>
            <w:instrText> PAGEREF property_12 \h </w:instrText>
          </w:r>
          <w:r>
            <w:fldChar w:fldCharType="separate"/>
          </w:r>
          <w:r>
            <w:rPr>
              <w:b w:val="0"/>
              <w:sz w:val="22"/>
              <w:szCs w:val="22"/>
            </w:rPr>
            <w:t xml:space="preserve">31</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3">
            <w:r>
              <w:rPr>
                <w:b w:val="0"/>
                <w:sz w:val="22"/>
                <w:szCs w:val="22"/>
              </w:rPr>
              <w:t xml:space="preserve">P-13. Oracle magnitude bounds.</w:t>
            </w:r>
          </w:hyperlink>
          <w:r>
            <w:tab/>
          </w:r>
          <w:r>
            <w:fldChar w:fldCharType="begin"/>
          </w:r>
          <w:r>
            <w:instrText> PAGEREF property_13 \h </w:instrText>
          </w:r>
          <w:r>
            <w:fldChar w:fldCharType="separate"/>
          </w:r>
          <w:r>
            <w:rPr>
              <w:b w:val="0"/>
              <w:sz w:val="22"/>
              <w:szCs w:val="22"/>
            </w:rPr>
            <w:t xml:space="preserve">32</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4">
            <w:r>
              <w:rPr>
                <w:b w:val="0"/>
                <w:sz w:val="22"/>
                <w:szCs w:val="22"/>
              </w:rPr>
              <w:t xml:space="preserve">P-14. Protocol magnitude bounds.</w:t>
            </w:r>
          </w:hyperlink>
          <w:r>
            <w:tab/>
          </w:r>
          <w:r>
            <w:fldChar w:fldCharType="begin"/>
          </w:r>
          <w:r>
            <w:instrText> PAGEREF property_14 \h </w:instrText>
          </w:r>
          <w:r>
            <w:fldChar w:fldCharType="separate"/>
          </w:r>
          <w:r>
            <w:rPr>
              <w:b w:val="0"/>
              <w:sz w:val="22"/>
              <w:szCs w:val="22"/>
            </w:rPr>
            <w:t xml:space="preserve">33</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5">
            <w:r>
              <w:rPr>
                <w:b w:val="0"/>
                <w:sz w:val="22"/>
                <w:szCs w:val="22"/>
              </w:rPr>
              <w:t xml:space="preserve">P-15. Protocol write fidelity.</w:t>
            </w:r>
          </w:hyperlink>
          <w:r>
            <w:tab/>
          </w:r>
          <w:r>
            <w:fldChar w:fldCharType="begin"/>
          </w:r>
          <w:r>
            <w:instrText> PAGEREF property_15 \h </w:instrText>
          </w:r>
          <w:r>
            <w:fldChar w:fldCharType="separate"/>
          </w:r>
          <w:r>
            <w:rPr>
              <w:b w:val="0"/>
              <w:sz w:val="22"/>
              <w:szCs w:val="22"/>
            </w:rPr>
            <w:t xml:space="preserve">35</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6">
            <w:r>
              <w:rPr>
                <w:b w:val="0"/>
                <w:sz w:val="22"/>
                <w:szCs w:val="22"/>
              </w:rPr>
              <w:t xml:space="preserve">P-16. Dynamic addition integrity.</w:t>
            </w:r>
          </w:hyperlink>
          <w:r>
            <w:tab/>
          </w:r>
          <w:r>
            <w:fldChar w:fldCharType="begin"/>
          </w:r>
          <w:r>
            <w:instrText> PAGEREF property_16 \h </w:instrText>
          </w:r>
          <w:r>
            <w:fldChar w:fldCharType="separate"/>
          </w:r>
          <w:r>
            <w:rPr>
              <w:b w:val="0"/>
              <w:sz w:val="22"/>
              <w:szCs w:val="22"/>
            </w:rPr>
            <w:t xml:space="preserve">37</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7">
            <w:r>
              <w:rPr>
                <w:b w:val="0"/>
                <w:sz w:val="22"/>
                <w:szCs w:val="22"/>
              </w:rPr>
              <w:t xml:space="preserve">P-17. Out-of-scope field preservation.</w:t>
            </w:r>
          </w:hyperlink>
          <w:r>
            <w:tab/>
          </w:r>
          <w:r>
            <w:fldChar w:fldCharType="begin"/>
          </w:r>
          <w:r>
            <w:instrText> PAGEREF property_17 \h </w:instrText>
          </w:r>
          <w:r>
            <w:fldChar w:fldCharType="separate"/>
          </w:r>
          <w:r>
            <w:rPr>
              <w:b w:val="0"/>
              <w:sz w:val="22"/>
              <w:szCs w:val="22"/>
            </w:rPr>
            <w:t xml:space="preserve">38</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8">
            <w:r>
              <w:rPr>
                <w:b w:val="0"/>
                <w:sz w:val="22"/>
                <w:szCs w:val="22"/>
              </w:rPr>
              <w:t xml:space="preserve">P-18. Sentinel and sibling preservation.</w:t>
            </w:r>
          </w:hyperlink>
          <w:r>
            <w:tab/>
          </w:r>
          <w:r>
            <w:fldChar w:fldCharType="begin"/>
          </w:r>
          <w:r>
            <w:instrText> PAGEREF property_18 \h </w:instrText>
          </w:r>
          <w:r>
            <w:fldChar w:fldCharType="separate"/>
          </w:r>
          <w:r>
            <w:rPr>
              <w:b w:val="0"/>
              <w:sz w:val="22"/>
              <w:szCs w:val="22"/>
            </w:rPr>
            <w:t xml:space="preserve">39</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19">
            <w:r>
              <w:rPr>
                <w:b w:val="0"/>
                <w:sz w:val="22"/>
                <w:szCs w:val="22"/>
              </w:rPr>
              <w:t xml:space="preserve">P-19. Existing dynamic-key preservation.</w:t>
            </w:r>
          </w:hyperlink>
          <w:r>
            <w:tab/>
          </w:r>
          <w:r>
            <w:fldChar w:fldCharType="begin"/>
          </w:r>
          <w:r>
            <w:instrText> PAGEREF property_19 \h </w:instrText>
          </w:r>
          <w:r>
            <w:fldChar w:fldCharType="separate"/>
          </w:r>
          <w:r>
            <w:rPr>
              <w:b w:val="0"/>
              <w:sz w:val="22"/>
              <w:szCs w:val="22"/>
            </w:rPr>
            <w:t xml:space="preserve">40</w:t>
          </w:r>
          <w:r>
            <w:fldChar w:fldCharType="end"/>
          </w:r>
        </w:p>
        <w:p>
          <w:pPr>
            <w:widowControl w:val="0"/>
            <w:tabs>
              <w:tab w:val="right" w:leader="dot" w:pos="10600"/>
            </w:tabs>
            <w:spacing w:before="0" w:line="240" w:lineRule="auto" w:after="30"/>
            <w:ind w:left="360" w:firstLine="0"/>
            <w:rPr>
              <w:b w:val="1"/>
              <w:bCs w:val="1"/>
              <w:i w:val="0"/>
              <w:iCs w:val="0"/>
              <w:smallCaps w:val="0"/>
              <w:strike w:val="0"/>
              <w:color w:val="000000"/>
              <w:sz w:val="22"/>
              <w:szCs w:val="22"/>
              <w:u w:val="none"/>
              <w:shd w:fill="auto" w:val="clear"/>
              <w:vertAlign w:val="baseline"/>
            </w:rPr>
          </w:pPr>
          <w:hyperlink w:anchor="property_20">
            <w:r>
              <w:rPr>
                <w:b w:val="0"/>
                <w:sz w:val="22"/>
                <w:szCs w:val="22"/>
              </w:rPr>
              <w:t xml:space="preserve">P-20. Percentage arithmetic equivalence.</w:t>
            </w:r>
          </w:hyperlink>
          <w:r>
            <w:tab/>
          </w:r>
          <w:r>
            <w:fldChar w:fldCharType="begin"/>
          </w:r>
          <w:r>
            <w:instrText> PAGEREF property_20 \h </w:instrText>
          </w:r>
          <w:r>
            <w:fldChar w:fldCharType="separate"/>
          </w:r>
          <w:r>
            <w:rPr>
              <w:b w:val="0"/>
              <w:sz w:val="22"/>
              <w:szCs w:val="22"/>
            </w:rPr>
            <w:t xml:space="preserve">41</w:t>
          </w:r>
          <w:r>
            <w:fldChar w:fldCharType="end"/>
          </w:r>
        </w:p>
        <w:p>
          <w:pPr>
            <w:widowControl w:val="0"/>
            <w:tabs>
              <w:tab w:val="right" w:leader="dot" w:pos="10600"/>
            </w:tabs>
            <w:spacing w:before="0" w:line="240" w:lineRule="auto" w:after="30"/>
            <w:ind w:left="0" w:firstLine="0"/>
            <w:rPr>
              <w:b w:val="1"/>
              <w:bCs w:val="1"/>
              <w:i w:val="0"/>
              <w:iCs w:val="0"/>
              <w:smallCaps w:val="0"/>
              <w:strike w:val="0"/>
              <w:color w:val="000000"/>
              <w:sz w:val="22"/>
              <w:szCs w:val="22"/>
              <w:u w:val="none"/>
              <w:shd w:fill="auto" w:val="clear"/>
              <w:vertAlign w:val="baseline"/>
            </w:rPr>
          </w:pPr>
          <w:hyperlink w:anchor="disclaimer">
            <w:r>
              <w:rPr>
                <w:b w:val="1"/>
                <w:sz w:val="22"/>
                <w:szCs w:val="22"/>
              </w:rPr>
              <w:t xml:space="preserve">Disclaimer</w:t>
            </w:r>
          </w:hyperlink>
          <w:r>
            <w:tab/>
          </w:r>
          <w:r>
            <w:fldChar w:fldCharType="begin"/>
          </w:r>
          <w:r>
            <w:instrText> PAGEREF disclaimer \h </w:instrText>
          </w:r>
          <w:r>
            <w:fldChar w:fldCharType="separate"/>
          </w:r>
          <w:r>
            <w:rPr>
              <w:b w:val="1"/>
              <w:sz w:val="22"/>
              <w:szCs w:val="22"/>
            </w:rPr>
            <w:t xml:space="preserve">42</w:t>
          </w:r>
          <w:r>
            <w:fldChar w:fldCharType="end"/>
          </w:r>
        </w:p>
        <w:p>
          <w:pPr>
            <w:widowControl w:val="0"/>
            <w:tabs>
              <w:tab w:val="right" w:leader="dot" w:pos="10600"/>
            </w:tabs>
            <w:spacing w:before="0" w:line="240" w:lineRule="auto" w:after="30"/>
            <w:ind w:left="0" w:firstLine="0"/>
            <w:rPr>
              <w:b w:val="1"/>
              <w:bCs w:val="1"/>
              <w:i w:val="0"/>
              <w:iCs w:val="0"/>
              <w:smallCaps w:val="0"/>
              <w:strike w:val="0"/>
              <w:color w:val="000000"/>
              <w:sz w:val="22"/>
              <w:szCs w:val="22"/>
              <w:u w:val="none"/>
              <w:shd w:fill="auto" w:val="clear"/>
              <w:vertAlign w:val="baseline"/>
            </w:rPr>
          </w:pPr>
          <w:hyperlink w:anchor="about">
            <w:r>
              <w:rPr>
                <w:b w:val="1"/>
                <w:sz w:val="22"/>
                <w:szCs w:val="22"/>
              </w:rPr>
              <w:t xml:space="preserve">About Certora</w:t>
            </w:r>
          </w:hyperlink>
          <w:r>
            <w:tab/>
          </w:r>
          <w:r>
            <w:fldChar w:fldCharType="begin"/>
          </w:r>
          <w:r>
            <w:instrText> PAGEREF about \h </w:instrText>
          </w:r>
          <w:r>
            <w:fldChar w:fldCharType="separate"/>
          </w:r>
          <w:r>
            <w:rPr>
              <w:b w:val="1"/>
              <w:sz w:val="22"/>
              <w:szCs w:val="22"/>
            </w:rPr>
            <w:t xml:space="preserve">42</w:t>
          </w:r>
          <w:r>
            <w:fldChar w:fldCharType="end"/>
          </w:r>
          <w:r>
            <w:fldChar w:fldCharType="end"/>
          </w:r>
        </w:p>
      </w:sdtContent>
    </w:sdt>
    <w:p>
      <w:pPr>
        <w:pStyle w:val="Heading1"/>
        <w:keepNext w:val="1"/>
        <w:pageBreakBefore w:val="1"/>
        <w:rPr>
          <w:rFonts w:ascii="DM Sans" w:cs="DM Sans" w:eastAsia="DM Sans" w:hAnsi="DM Sans"/>
          <w:b w:val="1"/>
          <w:bCs w:val="1"/>
        </w:rPr>
      </w:pPr>
      <w:bookmarkStart w:id="2002" w:name="summary"/>
      <w:r>
        <w:rPr>
          <w:rFonts w:ascii="DM Sans" w:cs="DM Sans" w:eastAsia="DM Sans" w:hAnsi="DM Sans"/>
          <w:b w:val="1"/>
          <w:bCs w:val="1"/>
          <w:rtl w:val="0"/>
        </w:rPr>
        <w:t xml:space="preserve">Project Summary</w:t>
      </w:r>
      <w:bookmarkEnd w:id="2002"/>
    </w:p>
    <w:p>
      <w:pPr>
        <w:pStyle w:val="Heading2"/>
        <w:keepNext w:val="1"/>
        <w:rPr>
          <w:rFonts w:ascii="DM Sans" w:hAnsi="DM Sans" w:cs="DM Sans" w:eastAsia="DM Sans"/>
          <w:sz w:val="30"/>
          <w:szCs w:val="30"/>
        </w:rPr>
      </w:pPr>
      <w:bookmarkStart w:id="2003" w:name="scope"/>
      <w:r>
        <w:rPr>
          <w:rFonts w:ascii="DM Sans" w:hAnsi="DM Sans" w:cs="DM Sans" w:eastAsia="DM Sans"/>
          <w:sz w:val="30"/>
          <w:szCs w:val="30"/>
          <w:rtl w:val="0"/>
        </w:rPr>
        <w:t xml:space="preserve">Project Scope</w:t>
      </w:r>
      <w:bookmarkEnd w:id="2003"/>
    </w:p>
    <w:tbl>
      <w:tblPr>
        <w:tblStyle w:val="Table1"/>
        <w:tblW w:w="1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140"/>
        <w:gridCol w:w="1440"/>
        <w:gridCol w:w="1755"/>
        <w:gridCol w:w="2190"/>
      </w:tblGrid>
      <w:tr>
        <w:trPr>
          <w:cantSplit w:val="1"/>
          <w:trHeight w:val="528" w:hRule="atLeast"/>
          <w:tblHeader w:val="0"/>
        </w:trPr>
        <w:tc>
          <w:tcPr>
            <w:tcW w:w="1425"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Project Name</w:t>
            </w:r>
          </w:p>
        </w:tc>
        <w:tc>
          <w:tcPr>
            <w:tcW w:w="4140"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Repository (link)</w:t>
            </w:r>
          </w:p>
        </w:tc>
        <w:tc>
          <w:tcPr>
            <w:tcW w:w="1440"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First Commit Hash</w:t>
            </w:r>
          </w:p>
        </w:tc>
        <w:tc>
          <w:tcPr>
            <w:tcW w:w="1755"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Latest Commit Hash</w:t>
            </w:r>
            <w:r>
              <w:rPr>
                <w:rtl w:val="0"/>
              </w:rPr>
            </w:r>
          </w:p>
        </w:tc>
        <w:tc>
          <w:tcPr>
            <w:tcW w:w="2190"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Platform</w:t>
            </w:r>
          </w:p>
        </w:tc>
      </w:tr>
      <w:tr>
        <w:trPr>
          <w:cantSplit w:val="1"/>
          <w:trHeight w:val="528" w:hRule="atLeast"/>
          <w:tblHeader w:val="0"/>
        </w:trPr>
        <w:tc>
          <w:tcPr>
            <w:tcW w:w="1425"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Aave V4</w:t>
              <w:br/>
              <w:t xml:space="preserve">Risk Steward</w:t>
            </w:r>
          </w:p>
        </w:tc>
        <w:tc>
          <w:tcPr>
            <w:tcW w:w="4140"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aave-dao / aave-v4-risk-stewards</w:t>
            </w:r>
            <w:hyperlink r:id="rId1001">
              <w:r>
                <w:rPr>
                  <w:color w:val="1155CC"/>
                  <w:u w:val="single"/>
                  <w:rtl w:val="0"/>
                </w:rPr>
                <w:t xml:space="preserve"/>
              </w:r>
            </w:hyperlink>
          </w:p>
        </w:tc>
        <w:tc>
          <w:tcPr>
            <w:tcW w:w="1440"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Not recorded</w:t>
            </w:r>
          </w:p>
        </w:tc>
        <w:tc>
          <w:tcPr>
            <w:tcW w:w="1755" w:type="dxa"/>
            <w:tcBorders>
              <w:top w:color="d9d9d9" w:space="0" w:sz="24" w:val="single"/>
              <w:left w:color="d9d9d9" w:space="0" w:sz="8" w:val="single"/>
              <w:bottom w:color="d9d9d9" w:space="0" w:sz="8" w:val="single"/>
              <w:right w:color="ffffff" w:space="0" w:sz="8" w:val="single"/>
            </w:tcBorders>
            <w:shd w:fill="ffffff" w:val="clear"/>
            <w:tcMar>
              <w:top w:w="144" w:type="dxa"/>
              <w:left w:w="144" w:type="dxa"/>
              <w:bottom w:w="144" w:type="dxa"/>
              <w:right w:w="144" w:type="dxa"/>
            </w:tcMar>
            <w:vAlign w:val="center"/>
          </w:tcPr>
          <w:p>
            <w:pPr>
              <w:spacing w:line="240" w:lineRule="auto"/>
              <w:rPr>
                <w:rFonts w:ascii="Arial" w:cs="Arial" w:eastAsia="Arial" w:hAnsi="Arial"/>
                <w:sz w:val="22"/>
                <w:szCs w:val="22"/>
              </w:rPr>
            </w:pPr>
            <w:hyperlink r:id="rIdUpstreamCommit">
              <w:r>
                <w:rPr>
                  <w:color w:val="1155CC"/>
                  <w:highlight w:val="white"/>
                  <w:u w:val="single"/>
                  <w:rtl w:val="0"/>
                </w:rPr>
                <w:t xml:space="preserve">4347d13</w:t>
                <w:t xml:space="preserve"/>
              </w:r>
            </w:hyperlink>
          </w:p>
        </w:tc>
        <w:tc>
          <w:tcPr>
            <w:tcW w:w="2190" w:type="dxa"/>
            <w:tcBorders>
              <w:top w:color="d9d9d9" w:space="0" w:sz="24" w:val="single"/>
              <w:left w:color="d9d9d9" w:space="0" w:sz="8" w:val="single"/>
              <w:bottom w:color="d9d9d9" w:space="0" w:sz="8" w:val="single"/>
              <w:right w:color="d9d9d9" w:space="0" w:sz="8" w:val="single"/>
            </w:tcBorders>
            <w:shd w:fill="ffffff" w:val="clear"/>
            <w:tcMar>
              <w:top w:w="144" w:type="dxa"/>
              <w:left w:w="144" w:type="dxa"/>
              <w:bottom w:w="144" w:type="dxa"/>
              <w:right w:w="144" w:type="dxa"/>
            </w:tcMar>
            <w:vAlign w:val="center"/>
          </w:tcPr>
          <w:p>
            <w:pPr>
              <w:spacing w:line="240" w:lineRule="auto"/>
              <w:rPr/>
            </w:pPr>
            <w:r>
              <w:rPr>
                <w:rtl w:val="0"/>
              </w:rPr>
              <w:t xml:space="preserve">EVM /</w:t>
              <w:br/>
              <w:t xml:space="preserve">Solidity</w:t>
            </w:r>
          </w:p>
        </w:tc>
      </w:tr>
    </w:tbl>
    <w:p>
      <w:pPr>
        <w:pStyle w:val="Heading2"/>
        <w:keepNext w:val="1"/>
        <w:rPr>
          <w:rFonts w:ascii="DM Sans" w:hAnsi="DM Sans" w:cs="DM Sans" w:eastAsia="DM Sans"/>
        </w:rPr>
      </w:pPr>
      <w:bookmarkStart w:id="2004" w:name="project_overview"/>
      <w:r>
        <w:rPr>
          <w:rFonts w:ascii="DM Sans" w:hAnsi="DM Sans" w:cs="DM Sans" w:eastAsia="DM Sans"/>
          <w:sz w:val="30"/>
          <w:szCs w:val="30"/>
          <w:rtl w:val="0"/>
        </w:rPr>
        <w:t xml:space="preserve">Project Overview</w:t>
      </w:r>
      <w:bookmarkEnd w:id="2004"/>
    </w:p>
    <w:p>
      <w:pPr>
        <w:spacing w:after="200" w:lineRule="auto"/>
        <w:jc w:val="both"/>
        <w:rPr>
          <w:b w:val="1"/>
          <w:bCs w:val="1"/>
          <w:color w:val="000000"/>
        </w:rPr>
      </w:pPr>
      <w:r>
        <w:rPr>
          <w:color w:val="000000"/>
          <w:rtl w:val="0"/>
        </w:rPr>
        <w:t xml:space="preserve">This report documents the current RiskSteward.sol verification suite and the recorded mutation campaign. It was prepared on 3 September 2026. Formal engagement dates and the first audited commit are not recorded in the supplied materials.</w:t>
      </w:r>
    </w:p>
    <w:p>
      <w:pPr>
        <w:spacing w:after="200" w:lineRule="auto"/>
        <w:jc w:val="both"/>
        <w:rPr>
          <w:color w:val="000000"/>
        </w:rPr>
      </w:pPr>
      <w:r>
        <w:rPr>
          <w:color w:val="000000"/>
          <w:rtl w:val="0"/>
        </w:rPr>
        <w:t xml:space="preserve">Primary contract in scope:</w:t>
      </w:r>
    </w:p>
    <w:p>
      <w:pPr>
        <w:jc w:val="both"/>
        <w:rPr>
          <w:color w:val="000000"/>
        </w:rPr>
      </w:pPr>
      <w:r>
        <w:rPr>
          <w:color w:val="000000"/>
          <w:rtl w:val="0"/>
        </w:rPr>
        <w:t xml:space="preserve">src/RiskSteward.sol</w:t>
      </w:r>
    </w:p>
    <w:p>
      <w:pPr>
        <w:spacing w:after="200" w:lineRule="auto"/>
        <w:jc w:val="both"/>
        <w:rPr>
          <w:b w:val="1"/>
          <w:bCs w:val="1"/>
          <w:color w:val="000000"/>
        </w:rPr>
      </w:pPr>
      <w:r>
        <w:rPr>
          <w:color w:val="000000"/>
          <w:rtl w:val="0"/>
        </w:rPr>
        <w:t xml:space="preserve">The current suite contains 103 CVL rules: 101 target RiskSteward behavior and two check the PercentageMathWrapper supporting the arithmetic model. Eight configurations cover authorization, validation, storage transitions, protocol effects, oracle updates and arithmetic equivalence.</w:t>
      </w:r>
    </w:p>
    <w:p>
      <w:pPr>
        <w:spacing w:after="200" w:lineRule="auto"/>
        <w:jc w:val="both"/>
        <w:rPr>
          <w:b w:val="1"/>
          <w:bCs w:val="1"/>
          <w:color w:val="000000"/>
        </w:rPr>
      </w:pPr>
      <w:r>
        <w:rPr>
          <w:color w:val="000000"/>
          <w:rtl w:val="0"/>
        </w:rPr>
        <w:t xml:space="preserve">Fresh baseline results: 103 verified across 103 current CVL rules. Results are conditional on the documented configurations and modeling assumptions. </w:t>
      </w:r>
    </w:p>
    <w:p>
      <w:pPr>
        <w:pStyle w:val="Heading3"/>
        <w:keepNext w:val="1"/>
        <w:rPr>
          <w:rFonts w:ascii="DM Sans" w:cs="DM Sans" w:eastAsia="DM Sans" w:hAnsi="DM Sans"/>
          <w:b w:val="1"/>
          <w:bCs w:val="1"/>
          <w:sz w:val="30"/>
          <w:szCs w:val="30"/>
        </w:rPr>
      </w:pPr>
      <w:bookmarkStart w:id="2005" w:name="protocol_overview"/>
      <w:r>
        <w:rPr>
          <w:rFonts w:ascii="DM Sans" w:cs="DM Sans" w:eastAsia="DM Sans" w:hAnsi="DM Sans"/>
          <w:b w:val="1"/>
          <w:bCs w:val="1"/>
          <w:sz w:val="30"/>
          <w:szCs w:val="30"/>
          <w:rtl w:val="0"/>
        </w:rPr>
        <w:t xml:space="preserve">Protocol Overview</w:t>
      </w:r>
      <w:bookmarkEnd w:id="2005"/>
    </w:p>
    <w:p>
      <w:pPr>
        <w:spacing w:after="200" w:before="200" w:lineRule="auto"/>
        <w:jc w:val="both"/>
        <w:rPr/>
      </w:pPr>
      <w:r>
        <w:rPr>
          <w:rtl w:val="0"/>
        </w:rPr>
        <w:t xml:space="preserve">RiskSteward delegates selected Aave v4 risk-parameter updates to an immutable Risk Council. Governance, acting as owner, selects configurators, change limits, minimum delays and restricted addresses. The council can update Hub interest-rate parameters and Spoke caps, reserve collateral risk, dynamic collateral configurations, liquidation parameters, and LST, stable and Pendle oracle settings. Each call validates its entire batch before executing writes through the Aave configuration engines or oracle adapters.</w:t>
      </w:r>
    </w:p>
    <w:p>
      <w:pPr>
        <w:pStyle w:val="Heading1"/>
        <w:keepNext w:val="1"/>
        <w:pageBreakBefore w:val="1"/>
        <w:spacing w:after="200" w:before="200" w:lineRule="auto"/>
        <w:rPr>
          <w:rFonts w:ascii="DM Sans" w:cs="DM Sans" w:eastAsia="DM Sans" w:hAnsi="DM Sans"/>
          <w:b w:val="1"/>
          <w:bCs w:val="1"/>
        </w:rPr>
      </w:pPr>
      <w:bookmarkStart w:id="2006" w:name="threat"/>
      <w:r>
        <w:rPr>
          <w:rFonts w:ascii="DM Sans" w:cs="DM Sans" w:eastAsia="DM Sans" w:hAnsi="DM Sans"/>
          <w:b w:val="1"/>
          <w:bCs w:val="1"/>
          <w:rtl w:val="0"/>
        </w:rPr>
        <w:t xml:space="preserve">Threat and Security Overview</w:t>
      </w:r>
      <w:bookmarkEnd w:id="2006"/>
    </w:p>
    <w:p>
      <w:pPr>
        <w:spacing w:after="200" w:lineRule="auto"/>
        <w:jc w:val="both"/>
        <w:rPr>
          <w:b w:val="1"/>
          <w:bCs w:val="1"/>
          <w:color w:val="000000"/>
        </w:rPr>
      </w:pPr>
      <w:r>
        <w:rPr>
          <w:color w:val="000000"/>
          <w:rtl w:val="0"/>
        </w:rPr>
        <w:t xml:space="preserve">Governance is trusted to choose canonical, correctly authorized dependencies and suitable limits. The council is constrained by the steward even if it submits adversarial inputs. Third-party callers have no delegated update authority. The steward changes configuration; downstream lending, valuation and liquidation effects depend on the configured protocol components.</w:t>
      </w:r>
    </w:p>
    <w:p>
      <w:pPr>
        <w:shd w:fill="ffffff" w:val="clear"/>
        <w:spacing w:after="240" w:lineRule="auto"/>
        <w:jc w:val="both"/>
        <w:rPr/>
      </w:pPr>
      <w:r>
        <w:rPr>
          <w:b w:val="1"/>
          <w:bCs w:val="1"/>
          <w:color w:val="333333"/>
          <w:rtl w:val="0"/>
        </w:rPr>
        <w:t xml:space="preserve"/>
      </w:r>
      <w:r>
        <w:rPr>
          <w:b w:val="1"/>
          <w:bCs w:val="1"/>
          <w:color w:val="333333"/>
          <w:rtl w:val="0"/>
        </w:rPr>
        <w:t xml:space="preserve">R-1. Unauthorized control. </w:t>
      </w:r>
      <w:r>
        <w:rPr>
          <w:b w:val="0"/>
          <w:bCs w:val="0"/>
        </w:rPr>
        <w:t xml:space="preserve">A third party or the owner acting outside the council role attempts a council update, a non-owner changes configuration, or a council update targets a restricted address.</w:t>
      </w:r>
    </w:p>
    <w:p>
      <w:pPr>
        <w:shd w:fill="ffffff" w:val="clear"/>
        <w:spacing w:after="240" w:lineRule="auto"/>
        <w:jc w:val="both"/>
        <w:rPr/>
      </w:pPr>
      <w:r>
        <w:rPr>
          <w:b w:val="1"/>
          <w:bCs w:val="1"/>
          <w:color w:val="333333"/>
          <w:rtl w:val="0"/>
        </w:rPr>
        <w:t xml:space="preserve"/>
      </w:r>
      <w:r>
        <w:rPr>
          <w:b w:val="1"/>
          <w:bCs w:val="1"/>
          <w:color w:val="333333"/>
          <w:rtl w:val="0"/>
        </w:rPr>
        <w:t xml:space="preserve">R-2. Limit bypass. </w:t>
      </w:r>
      <w:r>
        <w:rPr>
          <w:b w:val="0"/>
          <w:bCs w:val="0"/>
        </w:rPr>
        <w:t xml:space="preserve">An update uses the wrong field bound, writes too soon, supplies an invalid zero, or exploits arithmetic/sentinel handling. Limits constrain each permitted step; they do not establish economic safety for governance-selected values.</w:t>
      </w:r>
    </w:p>
    <w:p>
      <w:pPr>
        <w:shd w:fill="ffffff" w:val="clear"/>
        <w:spacing w:after="240" w:lineRule="auto"/>
        <w:jc w:val="both"/>
        <w:rPr/>
      </w:pPr>
      <w:r>
        <w:rPr>
          <w:b w:val="1"/>
          <w:bCs w:val="1"/>
          <w:color w:val="333333"/>
          <w:rtl w:val="0"/>
        </w:rPr>
        <w:t xml:space="preserve"/>
      </w:r>
      <w:r>
        <w:rPr>
          <w:b w:val="1"/>
          <w:bCs w:val="1"/>
          <w:color w:val="333333"/>
          <w:rtl w:val="0"/>
        </w:rPr>
        <w:t xml:space="preserve">R-3. Incorrect or excessive effects. </w:t>
      </w:r>
      <w:r>
        <w:rPr>
          <w:b w:val="0"/>
          <w:bCs w:val="0"/>
        </w:rPr>
        <w:t xml:space="preserve">An update uses the wrong configurator, changes a forbidden/sibling field, corrupts existing dynamic configurations, or succeeds without installing the intended value. Full-scene checks rely on the specified linked dependencies.</w:t>
      </w:r>
    </w:p>
    <w:p>
      <w:pPr>
        <w:shd w:fill="ffffff" w:val="clear"/>
        <w:spacing w:after="240" w:lineRule="auto"/>
        <w:jc w:val="both"/>
        <w:rPr/>
      </w:pPr>
      <w:r>
        <w:rPr>
          <w:b w:val="1"/>
          <w:bCs w:val="1"/>
          <w:color w:val="333333"/>
          <w:rtl w:val="0"/>
        </w:rPr>
        <w:t xml:space="preserve"/>
      </w:r>
      <w:r>
        <w:rPr>
          <w:b w:val="1"/>
          <w:bCs w:val="1"/>
          <w:color w:val="333333"/>
          <w:rtl w:val="0"/>
        </w:rPr>
        <w:t xml:space="preserve">R-4. Oracle misuse. </w:t>
      </w:r>
      <w:r>
        <w:rPr>
          <w:b w:val="0"/>
          <w:bCs w:val="0"/>
        </w:rPr>
        <w:t xml:space="preserve">Oracle inputs bypass guards or move the modeled governed value beyond its limit. LST effective-cap economics, external price authenticity, and complete adapter behavior are outside the modeled guarantee.</w:t>
      </w:r>
    </w:p>
    <w:p>
      <w:pPr>
        <w:spacing w:after="200" w:lineRule="auto"/>
        <w:jc w:val="both"/>
        <w:rPr>
          <w:b w:val="1"/>
          <w:bCs w:val="1"/>
          <w:color w:val="000000"/>
        </w:rPr>
      </w:pPr>
      <w:r>
        <w:rPr>
          <w:color w:val="000000"/>
          <w:rtl w:val="0"/>
        </w:rPr>
        <w:t xml:space="preserve">The evidence consists of CVL specifications, harnesses, configurations, historical mutation results and local review notes. No separate fuzzing campaign or comprehensive protocol audit is claimed here. The key boundaries are the bounded loops, dependency models and governance assumptions documented below.</w:t>
      </w:r>
    </w:p>
    <w:p>
      <w:pPr>
        <w:pStyle w:val="Heading2"/>
        <w:keepNext w:val="1"/>
        <w:pageBreakBefore w:val="1"/>
        <w:rPr>
          <w:rFonts w:ascii="DM Sans" w:hAnsi="DM Sans" w:cs="DM Sans" w:eastAsia="DM Sans"/>
        </w:rPr>
      </w:pPr>
      <w:bookmarkStart w:id="2007" w:name="findings_summary"/>
      <w:r>
        <w:rPr>
          <w:rFonts w:ascii="DM Sans" w:hAnsi="DM Sans" w:cs="DM Sans" w:eastAsia="DM Sans"/>
          <w:rtl w:val="0"/>
        </w:rPr>
        <w:t xml:space="preserve">Findings Summary</w:t>
      </w:r>
      <w:bookmarkEnd w:id="2007"/>
    </w:p>
    <w:p>
      <w:pPr>
        <w:rPr/>
      </w:pPr>
      <w:r>
        <w:rPr>
          <w:rtl w:val="0"/>
        </w:rPr>
        <w:t xml:space="preserve">The local notes record five preliminary observations: two Low and three Informational. These are hardening or operational concerns under the stated trust model. Severity, client confirmation and remediation have not been finalized.</w:t>
      </w:r>
    </w:p>
    <w:tbl>
      <w:tblPr>
        <w:tblStyle w:val="Table2"/>
        <w:tblW w:w="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195"/>
        <w:gridCol w:w="2160"/>
        <w:gridCol w:w="1965"/>
      </w:tblGrid>
      <w:tr>
        <w:trPr>
          <w:cantSplit w:val="1"/>
          <w:tblHeader w:val="0"/>
        </w:trPr>
        <w:tc>
          <w:tcPr>
            <w:tcW w:w="2235"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vAlign w:val="top"/>
          </w:tcPr>
          <w:p>
            <w:pPr>
              <w:widowControl w:val="0"/>
              <w:spacing w:line="240" w:lineRule="auto"/>
              <w:rPr>
                <w:b w:val="1"/>
                <w:bCs w:val="1"/>
                <w:sz w:val="20"/>
                <w:szCs w:val="20"/>
              </w:rPr>
            </w:pPr>
            <w:r>
              <w:rPr>
                <w:b w:val="1"/>
                <w:bCs w:val="1"/>
                <w:sz w:val="20"/>
                <w:szCs w:val="20"/>
                <w:rtl w:val="0"/>
              </w:rPr>
              <w:t xml:space="preserve">Severity</w:t>
            </w:r>
          </w:p>
        </w:tc>
        <w:tc>
          <w:tcPr>
            <w:tcW w:w="3195"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tcPr>
          <w:p>
            <w:pPr>
              <w:widowControl w:val="0"/>
              <w:spacing w:line="240" w:lineRule="auto"/>
              <w:jc w:val="center"/>
              <w:rPr>
                <w:b w:val="1"/>
                <w:bCs w:val="1"/>
                <w:color w:val="999999"/>
              </w:rPr>
            </w:pPr>
            <w:r>
              <w:rPr>
                <w:b w:val="1"/>
                <w:bCs w:val="1"/>
                <w:sz w:val="20"/>
                <w:szCs w:val="20"/>
                <w:rtl w:val="0"/>
              </w:rPr>
              <w:t xml:space="preserve">Discovered</w:t>
            </w:r>
            <w:r>
              <w:rPr>
                <w:rtl w:val="0"/>
              </w:rPr>
            </w:r>
          </w:p>
        </w:tc>
        <w:tc>
          <w:tcPr>
            <w:tcW w:w="2160"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tcPr>
          <w:p>
            <w:pPr>
              <w:widowControl w:val="0"/>
              <w:spacing w:line="240" w:lineRule="auto"/>
              <w:jc w:val="center"/>
              <w:rPr>
                <w:b w:val="1"/>
                <w:bCs w:val="1"/>
                <w:sz w:val="20"/>
                <w:szCs w:val="20"/>
              </w:rPr>
            </w:pPr>
            <w:r>
              <w:rPr>
                <w:b w:val="1"/>
                <w:bCs w:val="1"/>
                <w:sz w:val="20"/>
                <w:szCs w:val="20"/>
                <w:rtl w:val="0"/>
              </w:rPr>
              <w:t xml:space="preserve">Confirmed</w:t>
            </w:r>
          </w:p>
        </w:tc>
        <w:tc>
          <w:tcPr>
            <w:tcW w:w="1965"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tcPr>
          <w:p>
            <w:pPr>
              <w:widowControl w:val="0"/>
              <w:spacing w:line="240" w:lineRule="auto"/>
              <w:jc w:val="center"/>
              <w:rPr>
                <w:b w:val="1"/>
                <w:bCs w:val="1"/>
                <w:sz w:val="20"/>
                <w:szCs w:val="20"/>
              </w:rPr>
            </w:pPr>
            <w:r>
              <w:rPr>
                <w:b w:val="1"/>
                <w:bCs w:val="1"/>
                <w:sz w:val="20"/>
                <w:szCs w:val="20"/>
                <w:rtl w:val="0"/>
              </w:rPr>
              <w:t xml:space="preserve">Fixed </w:t>
            </w:r>
          </w:p>
        </w:tc>
      </w:tr>
      <w:tr>
        <w:trPr>
          <w:cantSplit w:val="1"/>
          <w:tblHeader w:val="0"/>
        </w:trPr>
        <w:tc>
          <w:tcPr>
            <w:tcW w:w="2235" w:type="dxa"/>
            <w:tcBorders>
              <w:top w:color="d9d9d9" w:space="0" w:sz="8" w:val="single"/>
              <w:left w:color="ff0000" w:space="0" w:sz="24" w:val="single"/>
              <w:bottom w:color="d9d9d9" w:space="0" w:sz="8" w:val="single"/>
              <w:right w:color="000000" w:space="0" w:sz="0" w:val="nil"/>
            </w:tcBorders>
            <w:shd w:fill="f4cccc"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Critical</w:t>
            </w:r>
          </w:p>
        </w:tc>
        <w:tc>
          <w:tcPr>
            <w:tcW w:w="3195"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0</w:t>
            </w:r>
          </w:p>
        </w:tc>
        <w:tc>
          <w:tcPr>
            <w:tcW w:w="2160"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Not recorded</w:t>
            </w:r>
          </w:p>
        </w:tc>
        <w:tc>
          <w:tcPr>
            <w:tcW w:w="1965"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Not recorded</w:t>
            </w:r>
          </w:p>
        </w:tc>
      </w:tr>
      <w:tr>
        <w:trPr>
          <w:cantSplit w:val="1"/>
          <w:tblHeader w:val="0"/>
        </w:trPr>
        <w:tc>
          <w:tcPr>
            <w:tcW w:w="2235" w:type="dxa"/>
            <w:tcBorders>
              <w:top w:color="d9d9d9" w:space="0" w:sz="8" w:val="single"/>
              <w:left w:color="ea9999" w:space="0" w:sz="24" w:val="single"/>
              <w:bottom w:color="d9d9d9" w:space="0" w:sz="8" w:val="single"/>
              <w:right w:color="000000" w:space="0" w:sz="0" w:val="nil"/>
            </w:tcBorders>
            <w:shd w:fill="f4cccc" w:val="clear"/>
            <w:tcMar>
              <w:top w:w="173" w:type="dxa"/>
              <w:left w:w="173" w:type="dxa"/>
              <w:bottom w:w="173" w:type="dxa"/>
              <w:right w:w="173" w:type="dxa"/>
            </w:tcMar>
            <w:vAlign w:val="top"/>
          </w:tcPr>
          <w:p>
            <w:pPr>
              <w:widowControl w:val="0"/>
              <w:spacing w:line="240" w:lineRule="auto"/>
              <w:rPr>
                <w:sz w:val="20"/>
                <w:szCs w:val="20"/>
                <w:shd w:fill="ea9999" w:val="clear"/>
              </w:rPr>
            </w:pPr>
            <w:r>
              <w:rPr>
                <w:sz w:val="20"/>
                <w:szCs w:val="20"/>
                <w:rtl w:val="0"/>
              </w:rPr>
              <w:t xml:space="preserve">High</w:t>
            </w:r>
            <w:r>
              <w:rPr>
                <w:rtl w:val="0"/>
              </w:rPr>
            </w:r>
          </w:p>
        </w:tc>
        <w:tc>
          <w:tcPr>
            <w:tcW w:w="3195" w:type="dxa"/>
            <w:tcBorders>
              <w:top w:color="d9d9d9"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0</w:t>
            </w:r>
          </w:p>
        </w:tc>
        <w:tc>
          <w:tcPr>
            <w:tcW w:w="2160"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Not recorded</w:t>
            </w:r>
          </w:p>
        </w:tc>
        <w:tc>
          <w:tcPr>
            <w:tcW w:w="1965"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Not recorded</w:t>
            </w:r>
          </w:p>
        </w:tc>
      </w:tr>
      <w:tr>
        <w:trPr>
          <w:cantSplit w:val="1"/>
          <w:tblHeader w:val="0"/>
        </w:trPr>
        <w:tc>
          <w:tcPr>
            <w:tcW w:w="2235" w:type="dxa"/>
            <w:tcBorders>
              <w:top w:color="d9d9d9" w:space="0" w:sz="8" w:val="single"/>
              <w:left w:color="ff9900" w:space="0" w:sz="24" w:val="single"/>
              <w:bottom w:color="d9d9d9" w:space="0" w:sz="8" w:val="single"/>
              <w:right w:color="000000" w:space="0" w:sz="0" w:val="nil"/>
            </w:tcBorders>
            <w:shd w:fill="fce5cd"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Medium</w:t>
            </w:r>
          </w:p>
        </w:tc>
        <w:tc>
          <w:tcPr>
            <w:tcW w:w="3195" w:type="dxa"/>
            <w:tcBorders>
              <w:top w:color="d9d9d9"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0</w:t>
            </w:r>
          </w:p>
        </w:tc>
        <w:tc>
          <w:tcPr>
            <w:tcW w:w="2160"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t xml:space="preserve">Not recorded</w:t>
            </w:r>
          </w:p>
        </w:tc>
        <w:tc>
          <w:tcPr>
            <w:tcW w:w="1965"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t xml:space="preserve">Not recorded</w:t>
            </w:r>
          </w:p>
        </w:tc>
      </w:tr>
      <w:tr>
        <w:trPr>
          <w:cantSplit w:val="1"/>
          <w:tblHeader w:val="0"/>
        </w:trPr>
        <w:tc>
          <w:tcPr>
            <w:tcW w:w="2235" w:type="dxa"/>
            <w:tcBorders>
              <w:top w:color="d9d9d9" w:space="0" w:sz="8" w:val="single"/>
              <w:left w:color="00ff00" w:space="0" w:sz="24" w:val="single"/>
              <w:bottom w:color="d9d9d9" w:space="0" w:sz="8" w:val="single"/>
              <w:right w:color="000000" w:space="0" w:sz="0" w:val="nil"/>
            </w:tcBorders>
            <w:shd w:fill="d9ead3"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Low</w:t>
            </w:r>
          </w:p>
        </w:tc>
        <w:tc>
          <w:tcPr>
            <w:tcW w:w="3195" w:type="dxa"/>
            <w:tcBorders>
              <w:top w:color="d9d9d9"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2</w:t>
            </w:r>
          </w:p>
        </w:tc>
        <w:tc>
          <w:tcPr>
            <w:tcW w:w="2160"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t xml:space="preserve">Not recorded</w:t>
            </w:r>
          </w:p>
        </w:tc>
        <w:tc>
          <w:tcPr>
            <w:tcW w:w="1965"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t xml:space="preserve">Not recorded</w:t>
            </w:r>
          </w:p>
        </w:tc>
      </w:tr>
      <w:tr>
        <w:trPr>
          <w:cantSplit w:val="1"/>
          <w:tblHeader w:val="0"/>
        </w:trPr>
        <w:tc>
          <w:tcPr>
            <w:tcW w:w="2235" w:type="dxa"/>
            <w:tcBorders>
              <w:top w:color="d9d9d9" w:space="0" w:sz="8" w:val="single"/>
              <w:left w:color="4a86e8" w:space="0" w:sz="24" w:val="single"/>
              <w:bottom w:color="d9d9d9" w:space="0" w:sz="8" w:val="single"/>
              <w:right w:color="000000" w:space="0" w:sz="0" w:val="nil"/>
            </w:tcBorders>
            <w:shd w:fill="c9daf8"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Informational</w:t>
            </w:r>
          </w:p>
        </w:tc>
        <w:tc>
          <w:tcPr>
            <w:tcW w:w="3195" w:type="dxa"/>
            <w:tcBorders>
              <w:top w:color="d9d9d9"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3</w:t>
            </w:r>
          </w:p>
        </w:tc>
        <w:tc>
          <w:tcPr>
            <w:tcW w:w="2160"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t xml:space="preserve">Not recorded</w:t>
            </w:r>
          </w:p>
        </w:tc>
        <w:tc>
          <w:tcPr>
            <w:tcW w:w="1965" w:type="dxa"/>
            <w:tcBorders>
              <w:top w:color="ffffff" w:space="0" w:sz="8" w:val="single"/>
              <w:left w:color="d9d9d9" w:space="0" w:sz="8" w:val="single"/>
              <w:bottom w:color="d9d9d9" w:space="0" w:sz="8"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t xml:space="preserve">Not recorded</w:t>
            </w:r>
          </w:p>
        </w:tc>
      </w:tr>
      <w:tr>
        <w:trPr>
          <w:cantSplit w:val="1"/>
          <w:trHeight w:val="47" w:hRule="atLeast"/>
          <w:tblHeader w:val="0"/>
        </w:trPr>
        <w:tc>
          <w:tcPr>
            <w:tcW w:w="2235" w:type="dxa"/>
            <w:tcBorders>
              <w:top w:color="d9d9d9" w:space="0" w:sz="8" w:val="single"/>
              <w:left w:color="d9d9d9" w:space="0" w:sz="8" w:val="single"/>
              <w:bottom w:color="d9d9d9" w:space="0" w:sz="24" w:val="single"/>
              <w:right w:color="d9d9d9" w:space="0" w:sz="8" w:val="single"/>
            </w:tcBorders>
            <w:tcMar>
              <w:top w:w="173" w:type="dxa"/>
              <w:left w:w="173" w:type="dxa"/>
              <w:bottom w:w="173" w:type="dxa"/>
              <w:right w:w="173" w:type="dxa"/>
            </w:tcMar>
            <w:vAlign w:val="top"/>
          </w:tcPr>
          <w:p>
            <w:pPr>
              <w:widowControl w:val="0"/>
              <w:spacing w:line="240" w:lineRule="auto"/>
              <w:rPr>
                <w:b w:val="1"/>
                <w:bCs w:val="1"/>
                <w:sz w:val="20"/>
                <w:szCs w:val="20"/>
              </w:rPr>
            </w:pPr>
            <w:r>
              <w:rPr>
                <w:b w:val="1"/>
                <w:bCs w:val="1"/>
                <w:sz w:val="20"/>
                <w:szCs w:val="20"/>
                <w:rtl w:val="0"/>
              </w:rPr>
              <w:t xml:space="preserve">Total</w:t>
            </w:r>
          </w:p>
        </w:tc>
        <w:tc>
          <w:tcPr>
            <w:tcW w:w="3195" w:type="dxa"/>
            <w:tcBorders>
              <w:top w:color="d9d9d9" w:space="0" w:sz="8" w:val="single"/>
              <w:left w:color="d9d9d9" w:space="0" w:sz="8" w:val="single"/>
              <w:bottom w:color="d9d9d9" w:space="0" w:sz="24" w:val="single"/>
              <w:right w:color="d9d9d9" w:space="0" w:sz="8" w:val="single"/>
            </w:tcBorders>
            <w:tcMar>
              <w:top w:w="173" w:type="dxa"/>
              <w:left w:w="173" w:type="dxa"/>
              <w:bottom w:w="173" w:type="dxa"/>
              <w:right w:w="173" w:type="dxa"/>
            </w:tcMar>
            <w:vAlign w:val="center"/>
          </w:tcPr>
          <w:p>
            <w:pPr>
              <w:widowControl w:val="0"/>
              <w:spacing w:line="240" w:lineRule="auto"/>
              <w:jc w:val="center"/>
              <w:rPr>
                <w:b w:val="1"/>
                <w:bCs w:val="1"/>
                <w:color w:val="999999"/>
              </w:rPr>
            </w:pPr>
            <w:r>
              <w:rPr>
                <w:b w:val="1"/>
                <w:bCs w:val="1"/>
                <w:color w:val="999999"/>
                <w:rtl w:val="0"/>
              </w:rPr>
              <w:t xml:space="preserve">5</w:t>
            </w:r>
          </w:p>
        </w:tc>
        <w:tc>
          <w:tcPr>
            <w:tcW w:w="2160" w:type="dxa"/>
            <w:tcBorders>
              <w:top w:color="d9d9d9" w:space="0" w:sz="8" w:val="single"/>
              <w:left w:color="d9d9d9" w:space="0" w:sz="8" w:val="single"/>
              <w:bottom w:color="d9d9d9" w:space="0" w:sz="24" w:val="single"/>
              <w:right w:color="d9d9d9" w:space="0" w:sz="8" w:val="single"/>
            </w:tcBorders>
            <w:tcMar>
              <w:top w:w="173" w:type="dxa"/>
              <w:left w:w="173" w:type="dxa"/>
              <w:bottom w:w="173" w:type="dxa"/>
              <w:right w:w="173" w:type="dxa"/>
            </w:tcMar>
            <w:vAlign w:val="center"/>
          </w:tcPr>
          <w:p>
            <w:pPr>
              <w:widowControl w:val="0"/>
              <w:spacing w:line="240" w:lineRule="auto"/>
              <w:jc w:val="center"/>
              <w:rPr>
                <w:b w:val="1"/>
                <w:bCs w:val="1"/>
                <w:color w:val="999999"/>
              </w:rPr>
            </w:pPr>
            <w:r>
              <w:t xml:space="preserve">Not recorded</w:t>
            </w:r>
          </w:p>
        </w:tc>
        <w:tc>
          <w:tcPr>
            <w:tcW w:w="1965" w:type="dxa"/>
            <w:tcBorders>
              <w:top w:color="d9d9d9" w:space="0" w:sz="8" w:val="single"/>
              <w:left w:color="d9d9d9" w:space="0" w:sz="8" w:val="single"/>
              <w:bottom w:color="d9d9d9" w:space="0" w:sz="24" w:val="single"/>
              <w:right w:color="d9d9d9" w:space="0" w:sz="8" w:val="single"/>
            </w:tcBorders>
            <w:tcMar>
              <w:top w:w="173" w:type="dxa"/>
              <w:left w:w="173" w:type="dxa"/>
              <w:bottom w:w="173" w:type="dxa"/>
              <w:right w:w="173" w:type="dxa"/>
            </w:tcMar>
            <w:vAlign w:val="center"/>
          </w:tcPr>
          <w:p>
            <w:pPr>
              <w:widowControl w:val="0"/>
              <w:spacing w:line="240" w:lineRule="auto"/>
              <w:jc w:val="center"/>
              <w:rPr>
                <w:b w:val="1"/>
                <w:bCs w:val="1"/>
                <w:color w:val="999999"/>
              </w:rPr>
            </w:pPr>
            <w:r>
              <w:t xml:space="preserve">Not recorded</w:t>
            </w:r>
          </w:p>
        </w:tc>
      </w:tr>
    </w:tbl>
    <w:p>
      <w:pPr>
        <w:pStyle w:val="Heading2"/>
        <w:keepNext w:val="1"/>
        <w:rPr>
          <w:rFonts w:ascii="DM Sans" w:hAnsi="DM Sans" w:cs="DM Sans" w:eastAsia="DM Sans"/>
        </w:rPr>
      </w:pPr>
      <w:bookmarkStart w:id="2008" w:name="matrix"/>
      <w:r>
        <w:rPr>
          <w:rFonts w:ascii="DM Sans" w:hAnsi="DM Sans" w:cs="DM Sans" w:eastAsia="DM Sans"/>
          <w:rtl w:val="0"/>
        </w:rPr>
        <w:t xml:space="preserve">Severity Matrix</w:t>
      </w:r>
      <w:bookmarkEnd w:id="2008"/>
    </w:p>
    <w:tbl>
      <w:tblPr>
        <w:tblStyle w:val="Table3"/>
        <w:tblW w:w="95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005"/>
        <w:gridCol w:w="2505"/>
        <w:gridCol w:w="2355"/>
        <w:gridCol w:w="2400"/>
      </w:tblGrid>
      <w:tr>
        <w:trPr>
          <w:cantSplit w:val="1"/>
          <w:trHeight w:val="400" w:hRule="atLeast"/>
          <w:tblHeader w:val="0"/>
        </w:trPr>
        <w:tc>
          <w:tcPr>
            <w:tcW w:w="1260" w:type="dxa"/>
            <w:vMerge w:val="restart"/>
            <w:tcBorders>
              <w:top w:color="d9d9d9" w:space="0" w:sz="24" w:val="single"/>
              <w:left w:color="000000" w:space="0" w:sz="0" w:val="nil"/>
              <w:bottom w:color="d9d9d9" w:space="0" w:sz="24"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b w:val="1"/>
                <w:bCs w:val="1"/>
                <w:sz w:val="20"/>
                <w:szCs w:val="20"/>
                <w:rtl w:val="0"/>
              </w:rPr>
              <w:t xml:space="preserve">Impact</w:t>
            </w:r>
            <w:r>
              <w:rPr>
                <w:rtl w:val="0"/>
              </w:rPr>
            </w:r>
          </w:p>
        </w:tc>
        <w:tc>
          <w:tcPr>
            <w:tcW w:w="1005" w:type="dxa"/>
            <w:tcBorders>
              <w:top w:color="d9d9d9" w:space="0" w:sz="24" w:val="single"/>
              <w:left w:color="d9d9d9" w:space="0" w:sz="8" w:val="single"/>
              <w:bottom w:color="000000" w:space="0" w:sz="0" w:val="nil"/>
              <w:right w:color="d9d9d9" w:space="0" w:sz="8" w:val="single"/>
            </w:tcBorders>
            <w:shd w:fill="auto" w:val="clear"/>
            <w:tcMar>
              <w:top w:w="100" w:type="dxa"/>
              <w:left w:w="100" w:type="dxa"/>
              <w:bottom w:w="100" w:type="dxa"/>
              <w:right w:w="100" w:type="dxa"/>
            </w:tcMar>
            <w:vAlign w:val="center"/>
          </w:tcPr>
          <w:p>
            <w:pPr>
              <w:widowControl w:val="0"/>
              <w:spacing w:line="240" w:lineRule="auto"/>
              <w:rPr>
                <w:sz w:val="20"/>
                <w:szCs w:val="20"/>
              </w:rPr>
            </w:pPr>
            <w:r>
              <w:rPr>
                <w:sz w:val="20"/>
                <w:szCs w:val="20"/>
                <w:rtl w:val="0"/>
              </w:rPr>
              <w:t xml:space="preserve">High</w:t>
            </w:r>
            <w:r>
              <w:rPr>
                <w:rtl w:val="0"/>
              </w:rPr>
            </w:r>
          </w:p>
        </w:tc>
        <w:tc>
          <w:tcPr>
            <w:tcW w:w="2505" w:type="dxa"/>
            <w:tcBorders>
              <w:top w:color="d9d9d9" w:space="0" w:sz="24" w:val="single"/>
              <w:left w:color="ff9900" w:space="0" w:sz="24" w:val="single"/>
              <w:bottom w:color="d9d9d9" w:space="0" w:sz="8" w:val="single"/>
              <w:right w:color="000000" w:space="0" w:sz="0" w:val="nil"/>
            </w:tcBorders>
            <w:shd w:fill="fce5cd"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Medium</w:t>
            </w:r>
          </w:p>
        </w:tc>
        <w:tc>
          <w:tcPr>
            <w:tcW w:w="2355" w:type="dxa"/>
            <w:tcBorders>
              <w:top w:color="d9d9d9" w:space="0" w:sz="24" w:val="single"/>
              <w:left w:color="ea9999" w:space="0" w:sz="24" w:val="single"/>
              <w:bottom w:color="d9d9d9" w:space="0" w:sz="8" w:val="single"/>
              <w:right w:color="000000" w:space="0" w:sz="0" w:val="nil"/>
            </w:tcBorders>
            <w:shd w:fill="f4cccc" w:val="clear"/>
            <w:tcMar>
              <w:top w:w="173" w:type="dxa"/>
              <w:left w:w="173" w:type="dxa"/>
              <w:bottom w:w="173" w:type="dxa"/>
              <w:right w:w="173" w:type="dxa"/>
            </w:tcMar>
            <w:vAlign w:val="top"/>
          </w:tcPr>
          <w:p>
            <w:pPr>
              <w:widowControl w:val="0"/>
              <w:spacing w:line="240" w:lineRule="auto"/>
              <w:rPr>
                <w:sz w:val="20"/>
                <w:szCs w:val="20"/>
                <w:shd w:fill="ea9999" w:val="clear"/>
              </w:rPr>
            </w:pPr>
            <w:r>
              <w:rPr>
                <w:sz w:val="20"/>
                <w:szCs w:val="20"/>
                <w:rtl w:val="0"/>
              </w:rPr>
              <w:t xml:space="preserve">High</w:t>
            </w:r>
            <w:r>
              <w:rPr>
                <w:rtl w:val="0"/>
              </w:rPr>
            </w:r>
          </w:p>
        </w:tc>
        <w:tc>
          <w:tcPr>
            <w:tcW w:w="2400" w:type="dxa"/>
            <w:tcBorders>
              <w:top w:color="d9d9d9" w:space="0" w:sz="24" w:val="single"/>
              <w:left w:color="ff0000" w:space="0" w:sz="24" w:val="single"/>
              <w:bottom w:color="d9d9d9" w:space="0" w:sz="8" w:val="single"/>
              <w:right w:color="000000" w:space="0" w:sz="0" w:val="nil"/>
            </w:tcBorders>
            <w:shd w:fill="f4cccc"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Critical</w:t>
            </w:r>
          </w:p>
        </w:tc>
      </w:tr>
      <w:tr>
        <w:trPr>
          <w:cantSplit w:val="1"/>
          <w:trHeight w:val="400" w:hRule="atLeast"/>
          <w:tblHeader w:val="0"/>
        </w:trPr>
        <w:tc>
          <w:tcPr>
            <w:tcW w:w="1260" w:type="dxa"/>
            <w:vMerge w:val="continue"/>
            <w:tcBorders>
              <w:top w:color="ffffff" w:space="0" w:sz="8" w:val="single"/>
              <w:left w:color="000000" w:space="0" w:sz="0" w:val="nil"/>
              <w:bottom w:color="d9d9d9" w:space="0" w:sz="24" w:val="single"/>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rtl w:val="0"/>
              </w:rPr>
            </w:r>
          </w:p>
        </w:tc>
        <w:tc>
          <w:tcPr>
            <w:tcW w:w="1005" w:type="dxa"/>
            <w:tcBorders>
              <w:top w:color="000000" w:space="0" w:sz="0" w:val="nil"/>
              <w:left w:color="d9d9d9" w:space="0" w:sz="8" w:val="single"/>
              <w:bottom w:color="000000" w:space="0" w:sz="0" w:val="nil"/>
              <w:right w:color="d9d9d9" w:space="0" w:sz="8" w:val="single"/>
            </w:tcBorders>
            <w:shd w:fill="auto" w:val="clear"/>
            <w:tcMar>
              <w:top w:w="100" w:type="dxa"/>
              <w:left w:w="100" w:type="dxa"/>
              <w:bottom w:w="100" w:type="dxa"/>
              <w:right w:w="100" w:type="dxa"/>
            </w:tcMar>
            <w:vAlign w:val="center"/>
          </w:tcPr>
          <w:p>
            <w:pPr>
              <w:widowControl w:val="0"/>
              <w:spacing w:line="240" w:lineRule="auto"/>
              <w:rPr>
                <w:sz w:val="20"/>
                <w:szCs w:val="20"/>
              </w:rPr>
            </w:pPr>
            <w:r>
              <w:rPr>
                <w:sz w:val="20"/>
                <w:szCs w:val="20"/>
                <w:rtl w:val="0"/>
              </w:rPr>
              <w:t xml:space="preserve">Medium</w:t>
            </w:r>
          </w:p>
        </w:tc>
        <w:tc>
          <w:tcPr>
            <w:tcW w:w="2505" w:type="dxa"/>
            <w:tcBorders>
              <w:top w:color="d9d9d9" w:space="0" w:sz="8" w:val="single"/>
              <w:left w:color="00ff00" w:space="0" w:sz="24" w:val="single"/>
              <w:bottom w:color="d9d9d9" w:space="0" w:sz="8" w:val="single"/>
              <w:right w:color="000000" w:space="0" w:sz="0" w:val="nil"/>
            </w:tcBorders>
            <w:shd w:fill="d9ead3"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Low</w:t>
            </w:r>
          </w:p>
        </w:tc>
        <w:tc>
          <w:tcPr>
            <w:tcW w:w="2355" w:type="dxa"/>
            <w:tcBorders>
              <w:top w:color="d9d9d9" w:space="0" w:sz="8" w:val="single"/>
              <w:left w:color="ff9900" w:space="0" w:sz="24" w:val="single"/>
              <w:bottom w:color="d9d9d9" w:space="0" w:sz="8" w:val="single"/>
              <w:right w:color="000000" w:space="0" w:sz="0" w:val="nil"/>
            </w:tcBorders>
            <w:shd w:fill="fce5cd"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Medium</w:t>
            </w:r>
          </w:p>
        </w:tc>
        <w:tc>
          <w:tcPr>
            <w:tcW w:w="2400" w:type="dxa"/>
            <w:tcBorders>
              <w:top w:color="d9d9d9" w:space="0" w:sz="8" w:val="single"/>
              <w:left w:color="ea9999" w:space="0" w:sz="24" w:val="single"/>
              <w:bottom w:color="d9d9d9" w:space="0" w:sz="8" w:val="single"/>
              <w:right w:color="000000" w:space="0" w:sz="0" w:val="nil"/>
            </w:tcBorders>
            <w:shd w:fill="f4cccc" w:val="clear"/>
            <w:tcMar>
              <w:top w:w="173" w:type="dxa"/>
              <w:left w:w="173" w:type="dxa"/>
              <w:bottom w:w="173" w:type="dxa"/>
              <w:right w:w="173" w:type="dxa"/>
            </w:tcMar>
            <w:vAlign w:val="top"/>
          </w:tcPr>
          <w:p>
            <w:pPr>
              <w:widowControl w:val="0"/>
              <w:spacing w:line="240" w:lineRule="auto"/>
              <w:rPr>
                <w:sz w:val="20"/>
                <w:szCs w:val="20"/>
                <w:shd w:fill="ea9999" w:val="clear"/>
              </w:rPr>
            </w:pPr>
            <w:r>
              <w:rPr>
                <w:sz w:val="20"/>
                <w:szCs w:val="20"/>
                <w:rtl w:val="0"/>
              </w:rPr>
              <w:t xml:space="preserve">High</w:t>
            </w:r>
            <w:r>
              <w:rPr>
                <w:rtl w:val="0"/>
              </w:rPr>
            </w:r>
          </w:p>
        </w:tc>
      </w:tr>
      <w:tr>
        <w:trPr>
          <w:cantSplit w:val="1"/>
          <w:trHeight w:val="400" w:hRule="atLeast"/>
          <w:tblHeader w:val="0"/>
        </w:trPr>
        <w:tc>
          <w:tcPr>
            <w:tcW w:w="1260" w:type="dxa"/>
            <w:vMerge w:val="continue"/>
            <w:tcBorders>
              <w:top w:color="ffffff" w:space="0" w:sz="8" w:val="single"/>
              <w:left w:color="000000" w:space="0" w:sz="0" w:val="nil"/>
              <w:bottom w:color="000000" w:space="0" w:sz="0" w:val="nil"/>
              <w:right w:color="d9d9d9" w:space="0" w:sz="8" w:val="single"/>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rtl w:val="0"/>
              </w:rPr>
            </w:r>
          </w:p>
        </w:tc>
        <w:tc>
          <w:tcPr>
            <w:tcW w:w="1005" w:type="dxa"/>
            <w:tcBorders>
              <w:top w:color="000000" w:space="0" w:sz="0" w:val="nil"/>
              <w:left w:color="d9d9d9" w:space="0" w:sz="8" w:val="single"/>
              <w:bottom w:color="000000" w:space="0" w:sz="0" w:val="nil"/>
              <w:right w:color="d9d9d9" w:space="0" w:sz="8" w:val="single"/>
            </w:tcBorders>
            <w:shd w:fill="auto" w:val="clear"/>
            <w:tcMar>
              <w:top w:w="100" w:type="dxa"/>
              <w:left w:w="100" w:type="dxa"/>
              <w:bottom w:w="100" w:type="dxa"/>
              <w:right w:w="100" w:type="dxa"/>
            </w:tcMar>
            <w:vAlign w:val="center"/>
          </w:tcPr>
          <w:p>
            <w:pPr>
              <w:widowControl w:val="0"/>
              <w:spacing w:line="240" w:lineRule="auto"/>
              <w:rPr>
                <w:sz w:val="20"/>
                <w:szCs w:val="20"/>
              </w:rPr>
            </w:pPr>
            <w:r>
              <w:rPr>
                <w:sz w:val="20"/>
                <w:szCs w:val="20"/>
                <w:rtl w:val="0"/>
              </w:rPr>
              <w:t xml:space="preserve">Low</w:t>
            </w:r>
          </w:p>
        </w:tc>
        <w:tc>
          <w:tcPr>
            <w:tcW w:w="2505" w:type="dxa"/>
            <w:tcBorders>
              <w:top w:color="d9d9d9" w:space="0" w:sz="8" w:val="single"/>
              <w:left w:color="00ff00" w:space="0" w:sz="24" w:val="single"/>
              <w:bottom w:color="000000" w:space="0" w:sz="0" w:val="nil"/>
              <w:right w:color="000000" w:space="0" w:sz="0" w:val="nil"/>
            </w:tcBorders>
            <w:shd w:fill="d9ead3"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Low</w:t>
            </w:r>
          </w:p>
        </w:tc>
        <w:tc>
          <w:tcPr>
            <w:tcW w:w="2355" w:type="dxa"/>
            <w:tcBorders>
              <w:top w:color="d9d9d9" w:space="0" w:sz="8" w:val="single"/>
              <w:left w:color="00ff00" w:space="0" w:sz="24" w:val="single"/>
              <w:bottom w:color="000000" w:space="0" w:sz="0" w:val="nil"/>
              <w:right w:color="000000" w:space="0" w:sz="0" w:val="nil"/>
            </w:tcBorders>
            <w:shd w:fill="d9ead3"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Low</w:t>
            </w:r>
          </w:p>
        </w:tc>
        <w:tc>
          <w:tcPr>
            <w:tcW w:w="2400" w:type="dxa"/>
            <w:tcBorders>
              <w:top w:color="d9d9d9" w:space="0" w:sz="8" w:val="single"/>
              <w:left w:color="ff9900" w:space="0" w:sz="24" w:val="single"/>
              <w:bottom w:color="000000" w:space="0" w:sz="0" w:val="nil"/>
              <w:right w:color="000000" w:space="0" w:sz="0" w:val="nil"/>
            </w:tcBorders>
            <w:shd w:fill="fce5cd" w:val="clear"/>
            <w:tcMar>
              <w:top w:w="173" w:type="dxa"/>
              <w:left w:w="173" w:type="dxa"/>
              <w:bottom w:w="173" w:type="dxa"/>
              <w:right w:w="173" w:type="dxa"/>
            </w:tcMar>
            <w:vAlign w:val="top"/>
          </w:tcPr>
          <w:p>
            <w:pPr>
              <w:widowControl w:val="0"/>
              <w:spacing w:line="240" w:lineRule="auto"/>
              <w:rPr>
                <w:sz w:val="20"/>
                <w:szCs w:val="20"/>
              </w:rPr>
            </w:pPr>
            <w:r>
              <w:rPr>
                <w:sz w:val="20"/>
                <w:szCs w:val="20"/>
                <w:rtl w:val="0"/>
              </w:rPr>
              <w:t xml:space="preserve">Medium</w:t>
            </w:r>
          </w:p>
        </w:tc>
      </w:tr>
      <w:tr>
        <w:trPr>
          <w:cantSplit w:val="1"/>
          <w:trHeight w:val="400" w:hRule="atLeast"/>
          <w:tblHeader w:val="0"/>
        </w:trPr>
        <w:tc>
          <w:tcPr>
            <w:tcW w:w="1260" w:type="dxa"/>
            <w:tcBorders>
              <w:top w:color="000000" w:space="0" w:sz="0" w:val="nil"/>
              <w:left w:color="000000" w:space="0" w:sz="0" w:val="nil"/>
              <w:bottom w:color="000000" w:space="0" w:sz="0" w:val="nil"/>
              <w:right w:color="000000" w:space="0" w:sz="0" w:val="nil"/>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rtl w:val="0"/>
              </w:rPr>
            </w:r>
          </w:p>
        </w:tc>
        <w:tc>
          <w:tcPr>
            <w:tcW w:w="1005" w:type="dxa"/>
            <w:tcBorders>
              <w:top w:color="000000" w:space="0" w:sz="0" w:val="nil"/>
              <w:left w:color="000000" w:space="0" w:sz="0" w:val="nil"/>
              <w:bottom w:color="000000" w:space="0" w:sz="0" w:val="nil"/>
              <w:right w:color="000000" w:space="0" w:sz="0" w:val="nil"/>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rtl w:val="0"/>
              </w:rPr>
            </w:r>
          </w:p>
        </w:tc>
        <w:tc>
          <w:tcPr>
            <w:tcW w:w="2505" w:type="dxa"/>
            <w:tcBorders>
              <w:top w:color="000000" w:space="0" w:sz="0" w:val="nil"/>
              <w:left w:color="000000" w:space="0" w:sz="0" w:val="nil"/>
              <w:bottom w:color="d9d9d9" w:space="0" w:sz="8" w:val="single"/>
              <w:right w:color="000000" w:space="0" w:sz="0" w:val="nil"/>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Low</w:t>
            </w:r>
          </w:p>
        </w:tc>
        <w:tc>
          <w:tcPr>
            <w:tcW w:w="2355" w:type="dxa"/>
            <w:tcBorders>
              <w:top w:color="000000" w:space="0" w:sz="0" w:val="nil"/>
              <w:left w:color="000000" w:space="0" w:sz="0" w:val="nil"/>
              <w:bottom w:color="d9d9d9" w:space="0" w:sz="8" w:val="single"/>
              <w:right w:color="000000" w:space="0" w:sz="0" w:val="nil"/>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Medium</w:t>
            </w:r>
          </w:p>
        </w:tc>
        <w:tc>
          <w:tcPr>
            <w:tcW w:w="2400" w:type="dxa"/>
            <w:tcBorders>
              <w:top w:color="000000" w:space="0" w:sz="0" w:val="nil"/>
              <w:left w:color="000000" w:space="0" w:sz="0" w:val="nil"/>
              <w:bottom w:color="d9d9d9" w:space="0" w:sz="8" w:val="single"/>
              <w:right w:color="000000" w:space="0" w:sz="0" w:val="nil"/>
            </w:tcBorders>
            <w:shd w:fill="auto" w:val="clear"/>
            <w:tcMar>
              <w:top w:w="100" w:type="dxa"/>
              <w:left w:w="100" w:type="dxa"/>
              <w:bottom w:w="100" w:type="dxa"/>
              <w:right w:w="100" w:type="dxa"/>
            </w:tcMar>
            <w:vAlign w:val="center"/>
          </w:tcPr>
          <w:p>
            <w:pPr>
              <w:widowControl w:val="0"/>
              <w:spacing w:line="240" w:lineRule="auto"/>
              <w:jc w:val="center"/>
              <w:rPr>
                <w:sz w:val="20"/>
                <w:szCs w:val="20"/>
              </w:rPr>
            </w:pPr>
            <w:r>
              <w:rPr>
                <w:sz w:val="20"/>
                <w:szCs w:val="20"/>
                <w:rtl w:val="0"/>
              </w:rPr>
              <w:t xml:space="preserve">High</w:t>
            </w:r>
          </w:p>
        </w:tc>
      </w:tr>
      <w:tr>
        <w:trPr>
          <w:cantSplit w:val="1"/>
          <w:trHeight w:val="586" w:hRule="atLeast"/>
          <w:tblHeader w:val="0"/>
        </w:trPr>
        <w:tc>
          <w:tcPr>
            <w:tcW w:w="1260" w:type="dxa"/>
            <w:tcBorders>
              <w:top w:color="000000" w:space="0" w:sz="0" w:val="nil"/>
              <w:left w:color="000000" w:space="0" w:sz="0" w:val="nil"/>
              <w:bottom w:color="d9d9d9" w:space="0" w:sz="24" w:val="single"/>
              <w:right w:color="000000" w:space="0" w:sz="0" w:val="nil"/>
            </w:tcBorders>
            <w:tcMar>
              <w:top w:w="173" w:type="dxa"/>
              <w:left w:w="173" w:type="dxa"/>
              <w:bottom w:w="173" w:type="dxa"/>
              <w:right w:w="173" w:type="dxa"/>
            </w:tcMar>
            <w:vAlign w:val="top"/>
          </w:tcPr>
          <w:p>
            <w:pPr>
              <w:widowControl w:val="0"/>
              <w:spacing w:line="240" w:lineRule="auto"/>
              <w:rPr>
                <w:b w:val="1"/>
                <w:bCs w:val="1"/>
                <w:sz w:val="20"/>
                <w:szCs w:val="20"/>
              </w:rPr>
            </w:pPr>
            <w:r>
              <w:rPr>
                <w:rtl w:val="0"/>
              </w:rPr>
            </w:r>
          </w:p>
        </w:tc>
        <w:tc>
          <w:tcPr>
            <w:tcW w:w="1005" w:type="dxa"/>
            <w:tcBorders>
              <w:top w:color="000000" w:space="0" w:sz="0" w:val="nil"/>
              <w:left w:color="000000" w:space="0" w:sz="0" w:val="nil"/>
              <w:bottom w:color="d9d9d9" w:space="0" w:sz="24" w:val="single"/>
              <w:right w:color="000000" w:space="0" w:sz="0" w:val="nil"/>
            </w:tcBorders>
            <w:tcMar>
              <w:top w:w="173" w:type="dxa"/>
              <w:left w:w="173" w:type="dxa"/>
              <w:bottom w:w="173" w:type="dxa"/>
              <w:right w:w="173" w:type="dxa"/>
            </w:tcMar>
            <w:vAlign w:val="top"/>
          </w:tcPr>
          <w:p>
            <w:pPr>
              <w:widowControl w:val="0"/>
              <w:spacing w:line="240" w:lineRule="auto"/>
              <w:jc w:val="center"/>
              <w:rPr>
                <w:b w:val="1"/>
                <w:bCs w:val="1"/>
                <w:sz w:val="20"/>
                <w:szCs w:val="20"/>
              </w:rPr>
            </w:pPr>
            <w:r>
              <w:rPr>
                <w:rtl w:val="0"/>
              </w:rPr>
            </w:r>
          </w:p>
        </w:tc>
        <w:tc>
          <w:tcPr>
            <w:tcW w:w="7260" w:type="dxa"/>
            <w:gridSpan w:val="3"/>
            <w:tcBorders>
              <w:top w:color="d9d9d9" w:space="0" w:sz="8" w:val="single"/>
              <w:left w:color="000000" w:space="0" w:sz="0" w:val="nil"/>
              <w:bottom w:color="d9d9d9" w:space="0" w:sz="24" w:val="single"/>
              <w:right w:color="000000" w:space="0" w:sz="0" w:val="nil"/>
            </w:tcBorders>
            <w:tcMar>
              <w:top w:w="173" w:type="dxa"/>
              <w:left w:w="173" w:type="dxa"/>
              <w:bottom w:w="173" w:type="dxa"/>
              <w:right w:w="173" w:type="dxa"/>
            </w:tcMar>
            <w:vAlign w:val="top"/>
          </w:tcPr>
          <w:p>
            <w:pPr>
              <w:widowControl w:val="0"/>
              <w:spacing w:line="240" w:lineRule="auto"/>
              <w:jc w:val="center"/>
              <w:rPr>
                <w:b w:val="1"/>
                <w:bCs w:val="1"/>
                <w:color w:val="999999"/>
              </w:rPr>
            </w:pPr>
            <w:r>
              <w:rPr>
                <w:b w:val="1"/>
                <w:bCs w:val="1"/>
                <w:sz w:val="20"/>
                <w:szCs w:val="20"/>
                <w:rtl w:val="0"/>
              </w:rPr>
              <w:t xml:space="preserve">Likelihood</w:t>
            </w:r>
            <w:r>
              <w:rPr>
                <w:rtl w:val="0"/>
              </w:rPr>
            </w:r>
          </w:p>
        </w:tc>
      </w:tr>
    </w:tbl>
    <w:p>
      <w:pPr>
        <w:pStyle w:val="Heading1"/>
        <w:keepNext w:val="1"/>
        <w:pageBreakBefore w:val="1"/>
        <w:rPr>
          <w:rFonts w:ascii="DM Sans" w:hAnsi="DM Sans" w:cs="DM Sans" w:eastAsia="DM Sans"/>
        </w:rPr>
      </w:pPr>
      <w:bookmarkStart w:id="2009" w:name="findings"/>
      <w:r>
        <w:rPr>
          <w:rFonts w:ascii="DM Sans" w:hAnsi="DM Sans" w:cs="DM Sans" w:eastAsia="DM Sans"/>
          <w:rtl w:val="0"/>
        </w:rPr>
        <w:t xml:space="preserve">Detailed Findings</w:t>
      </w:r>
      <w:bookmarkEnd w:id="2009"/>
    </w:p>
    <w:tbl>
      <w:tblPr>
        <w:tblStyle w:val="Table4"/>
        <w:tblW w:w="107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915"/>
        <w:gridCol w:w="2280"/>
        <w:gridCol w:w="3105"/>
      </w:tblGrid>
      <w:tr>
        <w:trPr>
          <w:cantSplit w:val="1"/>
          <w:trHeight w:val="635" w:hRule="atLeast"/>
          <w:tblHeader w:val="0"/>
        </w:trPr>
        <w:tc>
          <w:tcPr>
            <w:tcW w:w="1455" w:type="dxa"/>
            <w:tcBorders>
              <w:top w:color="d9d9d9" w:space="0" w:sz="24" w:val="single"/>
              <w:left w:color="d9d9d9" w:space="0" w:sz="8" w:val="single"/>
              <w:bottom w:color="d9d9d9" w:space="0" w:sz="8" w:val="single"/>
              <w:right w:color="d9d9d9" w:space="0" w:sz="24" w:val="single"/>
            </w:tcBorders>
            <w:tcMar>
              <w:top w:w="173" w:type="dxa"/>
              <w:left w:w="173" w:type="dxa"/>
              <w:bottom w:w="173" w:type="dxa"/>
              <w:right w:w="173" w:type="dxa"/>
            </w:tcMar>
            <w:vAlign w:val="top"/>
          </w:tcPr>
          <w:p>
            <w:pPr>
              <w:widowControl w:val="0"/>
              <w:spacing w:line="240" w:lineRule="auto"/>
              <w:rPr>
                <w:b w:val="1"/>
                <w:bCs w:val="1"/>
                <w:sz w:val="20"/>
                <w:szCs w:val="20"/>
              </w:rPr>
            </w:pPr>
            <w:r>
              <w:rPr>
                <w:b w:val="1"/>
                <w:bCs w:val="1"/>
                <w:sz w:val="20"/>
                <w:szCs w:val="20"/>
                <w:rtl w:val="0"/>
              </w:rPr>
              <w:t xml:space="preserve">ID</w:t>
            </w:r>
          </w:p>
        </w:tc>
        <w:tc>
          <w:tcPr>
            <w:tcW w:w="3915" w:type="dxa"/>
            <w:tcBorders>
              <w:top w:color="d9d9d9" w:space="0" w:sz="24" w:val="single"/>
              <w:left w:color="d9d9d9" w:space="0" w:sz="24" w:val="single"/>
              <w:bottom w:color="d9d9d9" w:space="0" w:sz="8" w:val="single"/>
              <w:right w:color="d9d9d9" w:space="0" w:sz="8" w:val="single"/>
            </w:tcBorders>
            <w:tcMar>
              <w:top w:w="173" w:type="dxa"/>
              <w:left w:w="173" w:type="dxa"/>
              <w:bottom w:w="173" w:type="dxa"/>
              <w:right w:w="173" w:type="dxa"/>
            </w:tcMar>
          </w:tcPr>
          <w:p>
            <w:pPr>
              <w:widowControl w:val="0"/>
              <w:spacing w:line="240" w:lineRule="auto"/>
              <w:rPr>
                <w:b w:val="1"/>
                <w:bCs w:val="1"/>
                <w:color w:val="999999"/>
              </w:rPr>
            </w:pPr>
            <w:r>
              <w:rPr>
                <w:b w:val="1"/>
                <w:bCs w:val="1"/>
                <w:sz w:val="20"/>
                <w:szCs w:val="20"/>
                <w:rtl w:val="0"/>
              </w:rPr>
              <w:t xml:space="preserve">Title</w:t>
            </w:r>
            <w:r>
              <w:rPr>
                <w:rtl w:val="0"/>
              </w:rPr>
            </w:r>
          </w:p>
        </w:tc>
        <w:tc>
          <w:tcPr>
            <w:tcW w:w="2280"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vAlign w:val="top"/>
          </w:tcPr>
          <w:p>
            <w:pPr>
              <w:widowControl w:val="0"/>
              <w:spacing w:line="240" w:lineRule="auto"/>
              <w:rPr>
                <w:b w:val="1"/>
                <w:bCs w:val="1"/>
                <w:color w:val="999999"/>
              </w:rPr>
            </w:pPr>
            <w:r>
              <w:rPr>
                <w:b w:val="1"/>
                <w:bCs w:val="1"/>
                <w:sz w:val="20"/>
                <w:szCs w:val="20"/>
                <w:rtl w:val="0"/>
              </w:rPr>
              <w:t xml:space="preserve">Severity</w:t>
            </w:r>
            <w:r>
              <w:rPr>
                <w:rtl w:val="0"/>
              </w:rPr>
            </w:r>
          </w:p>
        </w:tc>
        <w:tc>
          <w:tcPr>
            <w:tcW w:w="3105"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vAlign w:val="top"/>
          </w:tcPr>
          <w:p>
            <w:pPr>
              <w:widowControl w:val="0"/>
              <w:spacing w:line="240" w:lineRule="auto"/>
              <w:rPr>
                <w:b w:val="1"/>
                <w:bCs w:val="1"/>
                <w:sz w:val="20"/>
                <w:szCs w:val="20"/>
              </w:rPr>
            </w:pPr>
            <w:r>
              <w:rPr>
                <w:b w:val="1"/>
                <w:bCs w:val="1"/>
                <w:sz w:val="20"/>
                <w:szCs w:val="20"/>
                <w:rtl w:val="0"/>
              </w:rPr>
              <w:t xml:space="preserve">Status</w:t>
            </w:r>
          </w:p>
        </w:tc>
      </w:tr>
      <w:tr>
        <w:trPr>
          <w:cantSplit w:val="1"/>
          <w:tblHeader w:val="0"/>
        </w:trPr>
        <w:tc>
          <w:tcPr>
            <w:tcW w:w="1455" w:type="dxa"/>
            <w:tcBorders>
              <w:top w:color="d9d9d9" w:space="0" w:sz="8" w:val="single"/>
              <w:left w:color="cccccc" w:space="0" w:sz="8" w:val="single"/>
              <w:bottom w:color="d9d9d9" w:space="0" w:sz="8" w:val="single"/>
              <w:right w:color="03ff00" w:space="0" w:sz="24" w:val="single"/>
            </w:tcBorders>
            <w:shd w:fill="d9ead3" w:val="clear"/>
            <w:tcMar>
              <w:top w:w="173" w:type="dxa"/>
              <w:left w:w="173" w:type="dxa"/>
              <w:bottom w:w="173" w:type="dxa"/>
              <w:right w:w="173" w:type="dxa"/>
            </w:tcMar>
            <w:vAlign w:val="top"/>
          </w:tcPr>
          <w:p>
            <w:pPr>
              <w:widowControl w:val="0"/>
              <w:spacing w:line="240" w:lineRule="auto"/>
              <w:rPr/>
            </w:pPr>
            <w:hyperlink w:anchor="l_01">
              <w:r>
                <w:rPr>
                  <w:color w:val="1155cc"/>
                  <w:u w:val="single"/>
                  <w:rtl w:val="0"/>
                </w:rPr>
                <w:t xml:space="preserve">L-01</w:t>
              </w:r>
            </w:hyperlink>
          </w:p>
        </w:tc>
        <w:tc>
          <w:tcPr>
            <w:tcW w:w="3915" w:type="dxa"/>
            <w:tcBorders>
              <w:top w:color="d9d9d9" w:space="0" w:sz="8" w:val="single"/>
              <w:left w:color="03ff00" w:space="0" w:sz="24" w:val="single"/>
              <w:bottom w:color="d9d9d9" w:space="0" w:sz="8" w:val="single"/>
              <w:right w:color="03ff00" w:space="0" w:sz="24" w:val="single"/>
            </w:tcBorders>
            <w:shd w:fill="d9ead3" w:val="clear"/>
            <w:tcMar>
              <w:top w:w="173" w:type="dxa"/>
              <w:left w:w="173" w:type="dxa"/>
              <w:bottom w:w="173" w:type="dxa"/>
              <w:right w:w="173" w:type="dxa"/>
            </w:tcMar>
            <w:vAlign w:val="top"/>
          </w:tcPr>
          <w:p>
            <w:pPr>
              <w:widowControl w:val="0"/>
              <w:spacing w:line="240" w:lineRule="auto"/>
              <w:rPr/>
            </w:pPr>
            <w:r>
              <w:rPr>
                <w:rtl w:val="0"/>
              </w:rPr>
              <w:t xml:space="preserve">A no-op configurator can make an update falsely succeed</w:t>
            </w:r>
          </w:p>
        </w:tc>
        <w:tc>
          <w:tcPr>
            <w:tcW w:w="2280" w:type="dxa"/>
            <w:tcBorders>
              <w:top w:color="d9d9d9" w:space="0" w:sz="8" w:val="single"/>
              <w:left w:color="03ff00" w:space="0" w:sz="24" w:val="single"/>
              <w:bottom w:color="d9d9d9" w:space="0" w:sz="8" w:val="single"/>
              <w:right w:color="03ff00" w:space="0" w:sz="24" w:val="single"/>
            </w:tcBorders>
            <w:shd w:fill="d9ead3" w:val="clear"/>
            <w:tcMar>
              <w:top w:w="173" w:type="dxa"/>
              <w:left w:w="173" w:type="dxa"/>
              <w:bottom w:w="173" w:type="dxa"/>
              <w:right w:w="173" w:type="dxa"/>
            </w:tcMar>
            <w:vAlign w:val="top"/>
          </w:tcPr>
          <w:p>
            <w:pPr>
              <w:widowControl w:val="0"/>
              <w:spacing w:line="240" w:lineRule="auto"/>
              <w:rPr/>
            </w:pPr>
            <w:r>
              <w:rPr>
                <w:rtl w:val="0"/>
              </w:rPr>
              <w:t xml:space="preserve">Low</w:t>
            </w:r>
          </w:p>
        </w:tc>
        <w:tc>
          <w:tcPr>
            <w:tcW w:w="3105" w:type="dxa"/>
            <w:tcBorders>
              <w:top w:color="d9d9d9" w:space="0" w:sz="8" w:val="single"/>
              <w:left w:color="03ff00" w:space="0" w:sz="24" w:val="single"/>
              <w:bottom w:color="d9d9d9" w:space="0" w:sz="8" w:val="single"/>
              <w:right w:color="000000" w:space="0" w:sz="0" w:val="nil"/>
            </w:tcBorders>
            <w:shd w:fill="d9ead3" w:val="clear"/>
            <w:tcMar>
              <w:top w:w="173" w:type="dxa"/>
              <w:left w:w="173" w:type="dxa"/>
              <w:bottom w:w="173" w:type="dxa"/>
              <w:right w:w="173" w:type="dxa"/>
            </w:tcMar>
            <w:vAlign w:val="top"/>
          </w:tcPr>
          <w:p>
            <w:pPr>
              <w:widowControl w:val="0"/>
              <w:spacing w:line="240" w:lineRule="auto"/>
              <w:rPr/>
            </w:pPr>
            <w:r>
              <w:rPr>
                <w:rtl w:val="0"/>
              </w:rPr>
              <w:t xml:space="preserve">Preliminary</w:t>
            </w:r>
          </w:p>
        </w:tc>
      </w:tr>
      <w:tr>
        <w:trPr>
          <w:cantSplit w:val="1"/>
          <w:tblHeader w:val="0"/>
        </w:trPr>
        <w:tc>
          <w:tcPr>
            <w:tcW w:w="1455" w:type="dxa"/>
            <w:tcBorders>
              <w:top w:color="d9d9d9" w:space="0" w:sz="8" w:val="single"/>
              <w:left w:color="cccccc" w:space="0" w:sz="8" w:val="single"/>
              <w:bottom w:color="d9d9d9" w:space="0" w:sz="8" w:val="single"/>
              <w:right w:color="03ff00" w:space="0" w:sz="24" w:val="single"/>
            </w:tcBorders>
            <w:shd w:fill="d9ead3" w:val="clear"/>
            <w:tcMar>
              <w:top w:w="173" w:type="dxa"/>
              <w:left w:w="173" w:type="dxa"/>
              <w:bottom w:w="173" w:type="dxa"/>
              <w:right w:w="173" w:type="dxa"/>
            </w:tcMar>
            <w:vAlign w:val="top"/>
          </w:tcPr>
          <w:p>
            <w:pPr>
              <w:widowControl w:val="0"/>
              <w:spacing w:line="240" w:lineRule="auto"/>
              <w:rPr/>
            </w:pPr>
            <w:hyperlink w:anchor="l_02">
              <w:r>
                <w:rPr>
                  <w:color w:val="1155cc"/>
                  <w:u w:val="single"/>
                  <w:rtl w:val="0"/>
                </w:rPr>
                <w:t xml:space="preserve">L-02</w:t>
              </w:r>
            </w:hyperlink>
          </w:p>
        </w:tc>
        <w:tc>
          <w:tcPr>
            <w:tcW w:w="3915" w:type="dxa"/>
            <w:tcBorders>
              <w:top w:color="d9d9d9" w:space="0" w:sz="8" w:val="single"/>
              <w:left w:color="03ff00" w:space="0" w:sz="24" w:val="single"/>
              <w:bottom w:color="d9d9d9" w:space="0" w:sz="8" w:val="single"/>
              <w:right w:color="03ff00" w:space="0" w:sz="24" w:val="single"/>
            </w:tcBorders>
            <w:shd w:fill="d9ead3" w:val="clear"/>
            <w:tcMar>
              <w:top w:w="173" w:type="dxa"/>
              <w:left w:w="173" w:type="dxa"/>
              <w:bottom w:w="173" w:type="dxa"/>
              <w:right w:w="173" w:type="dxa"/>
            </w:tcMar>
            <w:vAlign w:val="top"/>
          </w:tcPr>
          <w:p>
            <w:pPr>
              <w:widowControl w:val="0"/>
              <w:spacing w:line="240" w:lineRule="auto"/>
              <w:rPr/>
            </w:pPr>
            <w:r>
              <w:rPr>
                <w:rtl w:val="0"/>
              </w:rPr>
              <w:t xml:space="preserve">Zero minimum delay permits repeated changes in one block</w:t>
            </w:r>
          </w:p>
        </w:tc>
        <w:tc>
          <w:tcPr>
            <w:tcW w:w="2280" w:type="dxa"/>
            <w:tcBorders>
              <w:top w:color="d9d9d9" w:space="0" w:sz="8" w:val="single"/>
              <w:left w:color="03ff00" w:space="0" w:sz="24" w:val="single"/>
              <w:bottom w:color="d9d9d9" w:space="0" w:sz="8" w:val="single"/>
              <w:right w:color="03ff00" w:space="0" w:sz="24" w:val="single"/>
            </w:tcBorders>
            <w:shd w:fill="d9ead3" w:val="clear"/>
            <w:tcMar>
              <w:top w:w="173" w:type="dxa"/>
              <w:left w:w="173" w:type="dxa"/>
              <w:bottom w:w="173" w:type="dxa"/>
              <w:right w:w="173" w:type="dxa"/>
            </w:tcMar>
            <w:vAlign w:val="top"/>
          </w:tcPr>
          <w:p>
            <w:pPr>
              <w:widowControl w:val="0"/>
              <w:spacing w:line="240" w:lineRule="auto"/>
              <w:rPr/>
            </w:pPr>
            <w:r>
              <w:rPr>
                <w:rtl w:val="0"/>
              </w:rPr>
              <w:t xml:space="preserve">Low</w:t>
            </w:r>
          </w:p>
        </w:tc>
        <w:tc>
          <w:tcPr>
            <w:tcW w:w="3105" w:type="dxa"/>
            <w:tcBorders>
              <w:top w:color="d9d9d9" w:space="0" w:sz="8" w:val="single"/>
              <w:left w:color="03ff00" w:space="0" w:sz="24" w:val="single"/>
              <w:bottom w:color="d9d9d9" w:space="0" w:sz="8" w:val="single"/>
              <w:right w:color="000000" w:space="0" w:sz="0" w:val="nil"/>
            </w:tcBorders>
            <w:shd w:fill="d9ead3" w:val="clear"/>
            <w:tcMar>
              <w:top w:w="173" w:type="dxa"/>
              <w:left w:w="173" w:type="dxa"/>
              <w:bottom w:w="173" w:type="dxa"/>
              <w:right w:w="173" w:type="dxa"/>
            </w:tcMar>
            <w:vAlign w:val="top"/>
          </w:tcPr>
          <w:p>
            <w:pPr>
              <w:widowControl w:val="0"/>
              <w:spacing w:line="240" w:lineRule="auto"/>
              <w:rPr/>
            </w:pPr>
            <w:r>
              <w:rPr>
                <w:rtl w:val="0"/>
              </w:rPr>
              <w:t xml:space="preserve">Preliminary</w:t>
            </w:r>
          </w:p>
        </w:tc>
      </w:tr>
      <w:tr>
        <w:trPr>
          <w:cantSplit w:val="1"/>
          <w:tblHeader w:val="0"/>
        </w:trPr>
        <w:tc>
          <w:tcPr>
            <w:tcW w:w="1455" w:type="dxa"/>
            <w:tcBorders>
              <w:top w:color="d9d9d9" w:space="0" w:sz="8" w:val="single"/>
              <w:left w:color="cccccc" w:space="0" w:sz="8"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hyperlink w:anchor="i_01">
              <w:r>
                <w:rPr>
                  <w:color w:val="1155cc"/>
                  <w:u w:val="single"/>
                  <w:rtl w:val="0"/>
                </w:rPr>
                <w:t xml:space="preserve">I-01</w:t>
              </w:r>
            </w:hyperlink>
          </w:p>
        </w:tc>
        <w:tc>
          <w:tcPr>
            <w:tcW w:w="3915" w:type="dxa"/>
            <w:tcBorders>
              <w:top w:color="d9d9d9" w:space="0" w:sz="8" w:val="single"/>
              <w:left w:color="03ff00" w:space="0" w:sz="24"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r>
              <w:rPr>
                <w:rtl w:val="0"/>
              </w:rPr>
              <w:t xml:space="preserve">Stable and Pendle sentinels are rejected only by SafeCast</w:t>
            </w:r>
          </w:p>
        </w:tc>
        <w:tc>
          <w:tcPr>
            <w:tcW w:w="2280" w:type="dxa"/>
            <w:tcBorders>
              <w:top w:color="d9d9d9" w:space="0" w:sz="8" w:val="single"/>
              <w:left w:color="03ff00" w:space="0" w:sz="24"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r>
              <w:rPr>
                <w:rtl w:val="0"/>
              </w:rPr>
              <w:t xml:space="preserve">Informational</w:t>
            </w:r>
          </w:p>
        </w:tc>
        <w:tc>
          <w:tcPr>
            <w:tcW w:w="3105" w:type="dxa"/>
            <w:tcBorders>
              <w:top w:color="d9d9d9" w:space="0" w:sz="8" w:val="single"/>
              <w:left w:color="03ff00" w:space="0" w:sz="24" w:val="single"/>
              <w:bottom w:color="d9d9d9" w:space="0" w:sz="8" w:val="single"/>
              <w:right w:color="000000" w:space="0" w:sz="0" w:val="nil"/>
            </w:tcBorders>
            <w:shd w:fill="c9daf8" w:val="clear"/>
            <w:tcMar>
              <w:top w:w="173" w:type="dxa"/>
              <w:left w:w="173" w:type="dxa"/>
              <w:bottom w:w="173" w:type="dxa"/>
              <w:right w:w="173" w:type="dxa"/>
            </w:tcMar>
            <w:vAlign w:val="top"/>
          </w:tcPr>
          <w:p>
            <w:pPr>
              <w:widowControl w:val="0"/>
              <w:spacing w:line="240" w:lineRule="auto"/>
              <w:rPr/>
            </w:pPr>
            <w:r>
              <w:rPr>
                <w:rtl w:val="0"/>
              </w:rPr>
              <w:t xml:space="preserve">Open note</w:t>
            </w:r>
          </w:p>
        </w:tc>
      </w:tr>
      <w:tr>
        <w:trPr>
          <w:cantSplit w:val="1"/>
          <w:tblHeader w:val="0"/>
        </w:trPr>
        <w:tc>
          <w:tcPr>
            <w:tcW w:w="1455" w:type="dxa"/>
            <w:tcBorders>
              <w:top w:color="d9d9d9" w:space="0" w:sz="8" w:val="single"/>
              <w:left w:color="cccccc" w:space="0" w:sz="8"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hyperlink w:anchor="i_02">
              <w:r>
                <w:rPr>
                  <w:color w:val="1155cc"/>
                  <w:u w:val="single"/>
                  <w:rtl w:val="0"/>
                </w:rPr>
                <w:t xml:space="preserve">I-02</w:t>
              </w:r>
            </w:hyperlink>
          </w:p>
        </w:tc>
        <w:tc>
          <w:tcPr>
            <w:tcW w:w="3915" w:type="dxa"/>
            <w:tcBorders>
              <w:top w:color="d9d9d9" w:space="0" w:sz="8" w:val="single"/>
              <w:left w:color="03ff00" w:space="0" w:sz="24"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r>
              <w:rPr>
                <w:rtl w:val="0"/>
              </w:rPr>
              <w:t xml:space="preserve">LST magnitude limits cover only the growth-rate input</w:t>
            </w:r>
          </w:p>
        </w:tc>
        <w:tc>
          <w:tcPr>
            <w:tcW w:w="2280" w:type="dxa"/>
            <w:tcBorders>
              <w:top w:color="d9d9d9" w:space="0" w:sz="8" w:val="single"/>
              <w:left w:color="03ff00" w:space="0" w:sz="24"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r>
              <w:rPr>
                <w:rtl w:val="0"/>
              </w:rPr>
              <w:t xml:space="preserve">Informational</w:t>
            </w:r>
          </w:p>
        </w:tc>
        <w:tc>
          <w:tcPr>
            <w:tcW w:w="3105" w:type="dxa"/>
            <w:tcBorders>
              <w:top w:color="d9d9d9" w:space="0" w:sz="8" w:val="single"/>
              <w:left w:color="03ff00" w:space="0" w:sz="24" w:val="single"/>
              <w:bottom w:color="d9d9d9" w:space="0" w:sz="8" w:val="single"/>
              <w:right w:color="000000" w:space="0" w:sz="0" w:val="nil"/>
            </w:tcBorders>
            <w:shd w:fill="c9daf8" w:val="clear"/>
            <w:tcMar>
              <w:top w:w="173" w:type="dxa"/>
              <w:left w:w="173" w:type="dxa"/>
              <w:bottom w:w="173" w:type="dxa"/>
              <w:right w:w="173" w:type="dxa"/>
            </w:tcMar>
            <w:vAlign w:val="top"/>
          </w:tcPr>
          <w:p>
            <w:pPr>
              <w:widowControl w:val="0"/>
              <w:spacing w:line="240" w:lineRule="auto"/>
              <w:rPr/>
            </w:pPr>
            <w:r>
              <w:rPr>
                <w:rtl w:val="0"/>
              </w:rPr>
              <w:t xml:space="preserve">Intent unconfirmed</w:t>
            </w:r>
          </w:p>
        </w:tc>
      </w:tr>
      <w:tr>
        <w:trPr>
          <w:cantSplit w:val="1"/>
          <w:tblHeader w:val="0"/>
        </w:trPr>
        <w:tc>
          <w:tcPr>
            <w:tcW w:w="1455" w:type="dxa"/>
            <w:tcBorders>
              <w:top w:color="d9d9d9" w:space="0" w:sz="8" w:val="single"/>
              <w:left w:color="cccccc" w:space="0" w:sz="8"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hyperlink w:anchor="i_03">
              <w:r>
                <w:rPr>
                  <w:color w:val="1155cc"/>
                  <w:u w:val="single"/>
                  <w:rtl w:val="0"/>
                </w:rPr>
                <w:t xml:space="preserve">I-03</w:t>
              </w:r>
            </w:hyperlink>
          </w:p>
        </w:tc>
        <w:tc>
          <w:tcPr>
            <w:tcW w:w="3915" w:type="dxa"/>
            <w:tcBorders>
              <w:top w:color="d9d9d9" w:space="0" w:sz="8" w:val="single"/>
              <w:left w:color="03ff00" w:space="0" w:sz="24"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r>
              <w:rPr>
                <w:rtl w:val="0"/>
              </w:rPr>
              <w:t xml:space="preserve">Relative limits cannot raise a parameter from zero</w:t>
            </w:r>
          </w:p>
        </w:tc>
        <w:tc>
          <w:tcPr>
            <w:tcW w:w="2280" w:type="dxa"/>
            <w:tcBorders>
              <w:top w:color="d9d9d9" w:space="0" w:sz="8" w:val="single"/>
              <w:left w:color="03ff00" w:space="0" w:sz="24" w:val="single"/>
              <w:bottom w:color="d9d9d9" w:space="0" w:sz="8" w:val="single"/>
              <w:right w:color="03ff00" w:space="0" w:sz="24" w:val="single"/>
            </w:tcBorders>
            <w:shd w:fill="c9daf8" w:val="clear"/>
            <w:tcMar>
              <w:top w:w="173" w:type="dxa"/>
              <w:left w:w="173" w:type="dxa"/>
              <w:bottom w:w="173" w:type="dxa"/>
              <w:right w:w="173" w:type="dxa"/>
            </w:tcMar>
            <w:vAlign w:val="top"/>
          </w:tcPr>
          <w:p>
            <w:pPr>
              <w:widowControl w:val="0"/>
              <w:spacing w:line="240" w:lineRule="auto"/>
              <w:rPr/>
            </w:pPr>
            <w:r>
              <w:rPr>
                <w:rtl w:val="0"/>
              </w:rPr>
              <w:t xml:space="preserve">Informational</w:t>
            </w:r>
          </w:p>
        </w:tc>
        <w:tc>
          <w:tcPr>
            <w:tcW w:w="3105" w:type="dxa"/>
            <w:tcBorders>
              <w:top w:color="d9d9d9" w:space="0" w:sz="8" w:val="single"/>
              <w:left w:color="03ff00" w:space="0" w:sz="24" w:val="single"/>
              <w:bottom w:color="d9d9d9" w:space="0" w:sz="8" w:val="single"/>
              <w:right w:color="000000" w:space="0" w:sz="0" w:val="nil"/>
            </w:tcBorders>
            <w:shd w:fill="c9daf8" w:val="clear"/>
            <w:tcMar>
              <w:top w:w="173" w:type="dxa"/>
              <w:left w:w="173" w:type="dxa"/>
              <w:bottom w:w="173" w:type="dxa"/>
              <w:right w:w="173" w:type="dxa"/>
            </w:tcMar>
            <w:vAlign w:val="top"/>
          </w:tcPr>
          <w:p>
            <w:pPr>
              <w:widowControl w:val="0"/>
              <w:spacing w:line="240" w:lineRule="auto"/>
              <w:rPr/>
            </w:pPr>
            <w:r>
              <w:rPr>
                <w:rtl w:val="0"/>
              </w:rPr>
              <w:t xml:space="preserve">Documented behavior</w:t>
            </w:r>
          </w:p>
        </w:tc>
      </w:tr>
    </w:tbl>
    <w:p>
      <w:pPr>
        <w:spacing w:before="0" w:after="120" w:line="40" w:lineRule="exact"/>
      </w:pPr>
    </w:p>
    <w:p>
      <w:pPr>
        <w:spacing w:after="200" w:lineRule="auto"/>
        <w:jc w:val="both"/>
        <w:rPr>
          <w:b w:val="1"/>
          <w:bCs w:val="1"/>
          <w:color w:val="000000"/>
        </w:rPr>
      </w:pPr>
      <w:r>
        <w:rPr>
          <w:color w:val="000000"/>
          <w:rtl w:val="0"/>
        </w:rPr>
        <w:t xml:space="preserve">Source notes: finding.txt and findingSteward.txt in the project root, checked against the current source. No baseline-rule violation is asserted by these preliminary notes. Mutation-induced failures are reported separately from findings in the original implementation.</w:t>
      </w:r>
    </w:p>
    <w:p>
      <w:pPr>
        <w:pStyle w:val="Heading2"/>
        <w:keepNext w:val="1"/>
        <w:keepLines w:val="0"/>
        <w:pBdr>
          <w:bottom w:color="eeeeee" w:space="5" w:sz="5" w:val="single"/>
        </w:pBdr>
        <w:shd w:fill="ffffff" w:val="clear"/>
        <w:spacing w:after="240" w:line="240" w:lineRule="auto"/>
        <w:ind w:left="-300" w:firstLine="0"/>
        <w:rPr>
          <w:rFonts w:ascii="DM Sans" w:hAnsi="DM Sans" w:cs="DM Sans" w:eastAsia="DM Sans"/>
        </w:rPr>
      </w:pPr>
      <w:bookmarkStart w:id="2010" w:name="critical"/>
      <w:r>
        <w:rPr>
          <w:rFonts w:ascii="DM Sans" w:cs="DM Sans" w:eastAsia="DM Sans" w:hAnsi="DM Sans"/>
          <w:color w:val="333333"/>
          <w:sz w:val="34"/>
          <w:szCs w:val="34"/>
          <w:rtl w:val="0"/>
        </w:rPr>
        <w:t xml:space="preserve">Critical Severity Issues</w:t>
      </w:r>
      <w:bookmarkEnd w:id="2010"/>
    </w:p>
    <w:p>
      <w:pPr>
        <w:spacing w:after="200" w:lineRule="auto"/>
        <w:jc w:val="both"/>
        <w:rPr>
          <w:b w:val="1"/>
          <w:bCs w:val="1"/>
          <w:color w:val="000000"/>
        </w:rPr>
      </w:pPr>
      <w:r>
        <w:rPr>
          <w:color w:val="000000"/>
          <w:rtl w:val="0"/>
        </w:rPr>
        <w:t xml:space="preserve">No findings of this severity are recorded in the reviewed materials.</w:t>
      </w:r>
    </w:p>
    <w:p>
      <w:pPr>
        <w:pStyle w:val="Heading2"/>
        <w:keepNext w:val="1"/>
        <w:keepLines w:val="0"/>
        <w:pBdr>
          <w:bottom w:color="eeeeee" w:space="5" w:sz="5" w:val="single"/>
        </w:pBdr>
        <w:shd w:fill="ffffff" w:val="clear"/>
        <w:spacing w:after="240" w:line="240" w:lineRule="auto"/>
        <w:ind w:left="-300" w:firstLine="0"/>
        <w:rPr>
          <w:rFonts w:ascii="DM Sans" w:cs="DM Sans" w:eastAsia="DM Sans" w:hAnsi="DM Sans"/>
          <w:color w:val="333333"/>
          <w:sz w:val="34"/>
          <w:szCs w:val="34"/>
        </w:rPr>
      </w:pPr>
      <w:bookmarkStart w:id="2011" w:name="high"/>
      <w:r>
        <w:rPr>
          <w:rFonts w:ascii="DM Sans" w:cs="DM Sans" w:eastAsia="DM Sans" w:hAnsi="DM Sans"/>
          <w:color w:val="333333"/>
          <w:sz w:val="34"/>
          <w:szCs w:val="34"/>
          <w:rtl w:val="0"/>
        </w:rPr>
        <w:t xml:space="preserve">High Severity Issues</w:t>
      </w:r>
      <w:bookmarkEnd w:id="2011"/>
    </w:p>
    <w:p>
      <w:pPr>
        <w:spacing w:after="200" w:lineRule="auto"/>
        <w:jc w:val="both"/>
        <w:rPr>
          <w:b w:val="1"/>
          <w:bCs w:val="1"/>
          <w:color w:val="000000"/>
        </w:rPr>
      </w:pPr>
      <w:r>
        <w:rPr>
          <w:color w:val="000000"/>
          <w:rtl w:val="0"/>
        </w:rPr>
        <w:t xml:space="preserve">No findings of this severity are recorded in the reviewed materials.</w:t>
      </w:r>
    </w:p>
    <w:p>
      <w:pPr>
        <w:pStyle w:val="Heading2"/>
        <w:keepNext w:val="1"/>
        <w:keepLines w:val="0"/>
        <w:pBdr>
          <w:bottom w:color="eeeeee" w:space="5" w:sz="5" w:val="single"/>
        </w:pBdr>
        <w:shd w:fill="ffffff" w:val="clear"/>
        <w:spacing w:after="240" w:line="240" w:lineRule="auto"/>
        <w:ind w:left="-300" w:firstLine="0"/>
        <w:rPr>
          <w:rFonts w:ascii="DM Sans" w:hAnsi="DM Sans" w:cs="DM Sans" w:eastAsia="DM Sans"/>
        </w:rPr>
      </w:pPr>
      <w:bookmarkStart w:id="2012" w:name="medium"/>
      <w:r>
        <w:rPr>
          <w:rFonts w:ascii="DM Sans" w:cs="DM Sans" w:eastAsia="DM Sans" w:hAnsi="DM Sans"/>
          <w:color w:val="333333"/>
          <w:sz w:val="34"/>
          <w:szCs w:val="34"/>
          <w:rtl w:val="0"/>
        </w:rPr>
        <w:t xml:space="preserve">Medium Severity Issues</w:t>
      </w:r>
      <w:bookmarkEnd w:id="2012"/>
    </w:p>
    <w:p>
      <w:pPr>
        <w:spacing w:after="200" w:lineRule="auto"/>
        <w:jc w:val="both"/>
        <w:rPr>
          <w:b w:val="1"/>
          <w:bCs w:val="1"/>
          <w:color w:val="000000"/>
        </w:rPr>
      </w:pPr>
      <w:r>
        <w:rPr>
          <w:color w:val="000000"/>
          <w:rtl w:val="0"/>
        </w:rPr>
        <w:t xml:space="preserve">No findings of this severity are recorded in the reviewed materials.</w:t>
      </w:r>
    </w:p>
    <w:p>
      <w:pPr>
        <w:pStyle w:val="Heading2"/>
        <w:keepNext w:val="1"/>
        <w:keepLines w:val="0"/>
        <w:pageBreakBefore w:val="1"/>
        <w:pBdr>
          <w:bottom w:color="eeeeee" w:space="5" w:sz="5" w:val="single"/>
        </w:pBdr>
        <w:shd w:fill="ffffff" w:val="clear"/>
        <w:spacing w:after="240" w:line="240" w:lineRule="auto"/>
        <w:ind w:left="-300" w:firstLine="0"/>
        <w:rPr>
          <w:rFonts w:ascii="DM Sans" w:cs="DM Sans" w:eastAsia="DM Sans" w:hAnsi="DM Sans"/>
          <w:color w:val="333333"/>
          <w:sz w:val="34"/>
          <w:szCs w:val="34"/>
        </w:rPr>
      </w:pPr>
      <w:bookmarkStart w:id="2013" w:name="l_01"/>
      <w:r>
        <w:rPr>
          <w:rFonts w:ascii="DM Sans" w:cs="DM Sans" w:eastAsia="DM Sans" w:hAnsi="DM Sans"/>
          <w:color w:val="333333"/>
          <w:sz w:val="34"/>
          <w:szCs w:val="34"/>
          <w:rtl w:val="0"/>
        </w:rPr>
        <w:t xml:space="preserve">Low Severity Issues</w:t>
      </w:r>
      <w:bookmarkEnd w:id="2013"/>
    </w:p>
    <w:tbl>
      <w:tblPr>
        <w:tblStyle w:val="Table8"/>
        <w:tblW w:w="11085" w:type="dxa"/>
        <w:jc w:val="left"/>
        <w:tblInd w:w="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320"/>
        <w:gridCol w:w="3900"/>
      </w:tblGrid>
      <w:tr>
        <w:trPr>
          <w:cantSplit w:val="1"/>
          <w:trHeight w:val="1068" w:hRule="atLeast"/>
          <w:tblHeader w:val="0"/>
        </w:trPr>
        <w:tc>
          <w:tcPr>
            <w:tcW w:w="11085" w:type="dxa"/>
            <w:gridSpan w:val="3"/>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pStyle w:val="Heading2"/>
              <w:spacing w:before="120" w:line="240" w:lineRule="auto"/>
              <w:rPr>
                <w:rFonts w:ascii="DM Sans" w:hAnsi="DM Sans" w:cs="DM Sans" w:eastAsia="DM Sans"/>
                <w:sz w:val="26"/>
                <w:szCs w:val="26"/>
              </w:rPr>
            </w:pPr>
            <w:r>
              <w:rPr>
                <w:rFonts w:ascii="DM Sans" w:hAnsi="DM Sans" w:cs="DM Sans" w:eastAsia="DM Sans"/>
                <w:sz w:val="26"/>
                <w:szCs w:val="26"/>
                <w:rtl w:val="0"/>
              </w:rPr>
              <w:t xml:space="preserve">L-01. A no-op configurator can make an update falsely succeed</w:t>
            </w:r>
          </w:p>
        </w:tc>
      </w:tr>
      <w:tr>
        <w:trPr>
          <w:cantSplit w:val="1"/>
          <w:trHeight w:val="528" w:hRule="atLeast"/>
          <w:tblHeader w:val="0"/>
        </w:trPr>
        <w:tc>
          <w:tcPr>
            <w:tcW w:w="2865" w:type="dxa"/>
            <w:tcBorders>
              <w:top w:color="d9d9d9" w:space="0" w:sz="8" w:val="single"/>
              <w:left w:color="03ff00" w:space="0" w:sz="24" w:val="single"/>
              <w:bottom w:color="d9d9d9" w:space="0" w:sz="8" w:val="single"/>
              <w:right w:color="03ff00" w:space="0" w:sz="24" w:val="single"/>
            </w:tcBorders>
            <w:shd w:fill="d9ead3" w:val="clear"/>
            <w:tcMar>
              <w:top w:w="144" w:type="dxa"/>
              <w:left w:w="144" w:type="dxa"/>
              <w:bottom w:w="144" w:type="dxa"/>
              <w:right w:w="144" w:type="dxa"/>
            </w:tcMar>
            <w:vAlign w:val="center"/>
          </w:tcPr>
          <w:p>
            <w:pPr>
              <w:spacing w:line="240" w:lineRule="auto"/>
              <w:rPr>
                <w:b w:val="1"/>
                <w:bCs w:val="1"/>
                <w:shd w:fill="f9cb9c" w:val="clear"/>
              </w:rPr>
            </w:pPr>
            <w:r>
              <w:rPr>
                <w:rtl w:val="0"/>
              </w:rPr>
              <w:t xml:space="preserve">Severity: Low</w:t>
            </w:r>
          </w:p>
        </w:tc>
        <w:tc>
          <w:tcPr>
            <w:tcW w:w="4320" w:type="dxa"/>
            <w:tcBorders>
              <w:top w:color="d9d9d9" w:space="0" w:sz="8" w:val="single"/>
              <w:left w:color="03ff00" w:space="0" w:sz="24" w:val="single"/>
              <w:bottom w:color="d9d9d9" w:space="0" w:sz="8" w:val="single"/>
              <w:right w:color="03ff00" w:space="0" w:sz="24" w:val="single"/>
            </w:tcBorders>
            <w:shd w:fill="d9ead3" w:val="clear"/>
            <w:tcMar>
              <w:top w:w="144" w:type="dxa"/>
              <w:left w:w="144" w:type="dxa"/>
              <w:bottom w:w="144" w:type="dxa"/>
              <w:right w:w="144" w:type="dxa"/>
            </w:tcMar>
            <w:vAlign w:val="center"/>
          </w:tcPr>
          <w:p>
            <w:pPr>
              <w:spacing w:line="240" w:lineRule="auto"/>
              <w:rPr/>
            </w:pPr>
            <w:r>
              <w:rPr>
                <w:rtl w:val="0"/>
              </w:rPr>
              <w:t xml:space="preserve">Impact: Not finalized</w:t>
            </w:r>
          </w:p>
        </w:tc>
        <w:tc>
          <w:tcPr>
            <w:tcW w:w="3900" w:type="dxa"/>
            <w:tcBorders>
              <w:top w:color="d9d9d9" w:space="0" w:sz="8" w:val="single"/>
              <w:left w:color="03ff00" w:space="0" w:sz="24" w:val="single"/>
              <w:bottom w:color="d9d9d9" w:space="0" w:sz="8" w:val="single"/>
              <w:right w:color="03ff00" w:space="0" w:sz="8" w:val="single"/>
            </w:tcBorders>
            <w:shd w:fill="d9ead3" w:val="clear"/>
            <w:tcMar>
              <w:top w:w="144" w:type="dxa"/>
              <w:left w:w="144" w:type="dxa"/>
              <w:bottom w:w="144" w:type="dxa"/>
              <w:right w:w="144" w:type="dxa"/>
            </w:tcMar>
            <w:vAlign w:val="center"/>
          </w:tcPr>
          <w:p>
            <w:pPr>
              <w:spacing w:line="240" w:lineRule="auto"/>
              <w:rPr/>
            </w:pPr>
            <w:r>
              <w:rPr>
                <w:rtl w:val="0"/>
              </w:rPr>
              <w:t xml:space="preserve">Likelihood: Not finalized</w:t>
            </w:r>
          </w:p>
        </w:tc>
      </w:tr>
      <w:tr>
        <w:trPr>
          <w:cantSplit w:val="1"/>
          <w:trHeight w:val="535" w:hRule="atLeast"/>
          <w:tblHeader w:val="0"/>
        </w:trPr>
        <w:tc>
          <w:tcPr>
            <w:tcW w:w="2865" w:type="dxa"/>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spacing w:line="240" w:lineRule="auto"/>
              <w:rPr/>
            </w:pPr>
            <w:r>
              <w:rPr>
                <w:rtl w:val="0"/>
              </w:rPr>
              <w:t xml:space="preserve">Files: src/RiskSteward.sol</w:t>
            </w:r>
          </w:p>
        </w:tc>
        <w:tc>
          <w:tcPr>
            <w:tcW w:w="4320" w:type="dxa"/>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spacing w:line="240" w:lineRule="auto"/>
              <w:rPr/>
            </w:pPr>
            <w:r>
              <w:rPr>
                <w:rtl w:val="0"/>
              </w:rPr>
              <w:t xml:space="preserve">Status: Preliminary</w:t>
            </w:r>
          </w:p>
        </w:tc>
        <w:tc>
          <w:tcPr>
            <w:tcW w:w="3900" w:type="dxa"/>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spacing w:line="240" w:lineRule="auto"/>
              <w:rPr>
                <w:highlight w:val="yellow"/>
              </w:rPr>
            </w:pPr>
            <w:r>
              <w:rPr>
                <w:rtl w:val="0"/>
              </w:rPr>
              <w:t xml:space="preserve">Violated Property: Not demonstrated; fidelity rules assume the linked scene.</w:t>
            </w:r>
          </w:p>
        </w:tc>
      </w:tr>
    </w:tbl>
    <w:p>
      <w:pPr>
        <w:spacing w:before="0" w:after="120" w:line="40" w:lineRule="exact"/>
      </w:pPr>
    </w:p>
    <w:p>
      <w:pPr>
        <w:shd w:fill="ffffff" w:val="clear"/>
        <w:spacing w:after="240" w:lineRule="auto"/>
        <w:jc w:val="both"/>
        <w:rPr/>
      </w:pPr>
      <w:r>
        <w:rPr>
          <w:b w:val="1"/>
          <w:bCs w:val="1"/>
          <w:color w:val="333333"/>
          <w:rtl w:val="0"/>
        </w:rPr>
        <w:t xml:space="preserve"/>
      </w:r>
      <w:r>
        <w:rPr>
          <w:rFonts w:ascii="DM Sans" w:hAnsi="DM Sans" w:cs="DM Sans" w:eastAsia="DM Sans"/>
          <w:b w:val="1"/>
          <w:bCs w:val="1"/>
          <w:color w:val="333333"/>
          <w:rtl w:val="0"/>
        </w:rPr>
        <w:t xml:space="preserve">Description: </w:t>
      </w:r>
      <w:r>
        <w:rPr>
          <w:b w:val="0"/>
          <w:bCs w:val="0"/>
        </w:rPr>
        <w:t xml:space="preserve">Governance can pin a contract that exposes the expected configurator selector but performs no update. RiskSteward checks address equality with its stored configuration, then stamps the debounce and forwards the request. A successful return does not itself attest to the installed protocol value.</w:t>
      </w:r>
    </w:p>
    <w:p>
      <w:pPr>
        <w:shd w:fill="ffffff" w:val="clear"/>
        <w:spacing w:after="240" w:lineRule="auto"/>
        <w:jc w:val="both"/>
        <w:rPr/>
      </w:pPr>
      <w:r>
        <w:rPr>
          <w:b w:val="1"/>
          <w:bCs w:val="1"/>
          <w:color w:val="333333"/>
          <w:rtl w:val="0"/>
        </w:rPr>
        <w:t xml:space="preserve"/>
      </w:r>
      <w:r>
        <w:rPr>
          <w:rFonts w:ascii="DM Sans" w:hAnsi="DM Sans" w:cs="DM Sans" w:eastAsia="DM Sans"/>
          <w:b w:val="1"/>
          <w:bCs w:val="1"/>
          <w:color w:val="333333"/>
          <w:rtl w:val="0"/>
        </w:rPr>
        <w:t xml:space="preserve">Exploit Scenario: </w:t>
      </w:r>
      <w:r>
        <w:rPr>
          <w:b w:val="0"/>
          <w:bCs w:val="0"/>
        </w:rPr>
        <w:t xml:space="preserve">After an owner pins a no-op configurator, a valid council call can return successfully without changing the requested value. The debounce remains committed, delaying a corrective call. This requires trusted-governance misconfiguration or compromise; direct theft by an untrusted caller is not demonstrated.</w:t>
      </w:r>
    </w:p>
    <w:p>
      <w:pPr>
        <w:shd w:fill="ffffff" w:val="clear"/>
        <w:spacing w:after="240" w:lineRule="auto"/>
        <w:jc w:val="both"/>
        <w:rPr>
          <w:b w:val="1"/>
          <w:bCs w:val="1"/>
          <w:color w:val="333333"/>
          <w:highlight w:val="yellow"/>
        </w:rPr>
      </w:pPr>
      <w:r>
        <w:rPr>
          <w:b w:val="1"/>
          <w:bCs w:val="1"/>
          <w:color w:val="333333"/>
          <w:rtl w:val="0"/>
        </w:rPr>
        <w:t xml:space="preserve"/>
      </w:r>
      <w:r>
        <w:rPr>
          <w:rFonts w:ascii="DM Sans" w:hAnsi="DM Sans" w:cs="DM Sans" w:eastAsia="DM Sans"/>
          <w:b w:val="1"/>
          <w:bCs w:val="1"/>
          <w:color w:val="333333"/>
          <w:rtl w:val="0"/>
        </w:rPr>
        <w:t xml:space="preserve">Recommendations: </w:t>
      </w:r>
      <w:r>
        <w:rPr>
          <w:b w:val="0"/>
          <w:bCs w:val="0"/>
        </w:rPr>
        <w:t xml:space="preserve">Pin reviewed canonical deployments, verify their target relationships and permissions, and check requested post-state in deployment and operational monitoring.</w:t>
      </w:r>
    </w:p>
    <w:p>
      <w:pPr>
        <w:shd w:fill="ffffff" w:val="clear"/>
        <w:spacing w:after="240" w:lineRule="auto"/>
        <w:jc w:val="both"/>
        <w:rPr/>
      </w:pPr>
      <w:r>
        <w:rPr>
          <w:b w:val="1"/>
          <w:bCs w:val="1"/>
          <w:color w:val="000000"/>
          <w:rtl w:val="0"/>
        </w:rPr>
        <w:t xml:space="preserve"/>
      </w:r>
      <w:r>
        <w:rPr>
          <w:rFonts w:ascii="DM Sans" w:hAnsi="DM Sans" w:cs="DM Sans" w:eastAsia="DM Sans"/>
          <w:b w:val="1"/>
          <w:bCs w:val="1"/>
          <w:color w:val="000000"/>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rFonts w:ascii="DM Sans" w:hAnsi="DM Sans" w:cs="DM Sans" w:eastAsia="DM Sans"/>
          <w:b w:val="1"/>
          <w:bCs w:val="1"/>
          <w:color w:val="000000"/>
          <w:rtl w:val="0"/>
        </w:rPr>
        <w:t xml:space="preserve">Fix Review: </w:t>
      </w:r>
      <w:r>
        <w:rPr>
          <w:b w:val="0"/>
          <w:bCs w:val="0"/>
        </w:rPr>
        <w:t xml:space="preserve">No remediation or approved fix is recorded. Source locations: Configuration and execution paths; see setConfig, _validateHubSpokeCaps and _executeHubSpokeCaps.</w:t>
      </w:r>
    </w:p>
    <w:p>
      <w:pPr>
        <w:pStyle w:val="Heading2"/>
        <w:keepNext w:val="1"/>
        <w:keepLines w:val="0"/>
        <w:pageBreakBefore w:val="1"/>
        <w:pBdr>
          <w:bottom w:color="eeeeee" w:space="5" w:sz="5" w:val="single"/>
        </w:pBdr>
        <w:shd w:fill="ffffff" w:val="clear"/>
        <w:spacing w:after="240" w:line="240" w:lineRule="auto"/>
        <w:ind w:left="-300" w:firstLine="0"/>
        <w:rPr>
          <w:rFonts w:ascii="DM Sans" w:cs="DM Sans" w:eastAsia="DM Sans" w:hAnsi="DM Sans"/>
          <w:color w:val="333333"/>
          <w:sz w:val="34"/>
          <w:szCs w:val="34"/>
        </w:rPr>
      </w:pPr>
      <w:bookmarkStart w:id="2014" w:name="l_02"/>
      <w:r>
        <w:rPr>
          <w:rFonts w:ascii="DM Sans" w:cs="DM Sans" w:eastAsia="DM Sans" w:hAnsi="DM Sans"/>
          <w:color w:val="333333"/>
          <w:sz w:val="34"/>
          <w:szCs w:val="34"/>
          <w:rtl w:val="0"/>
        </w:rPr>
        <w:t xml:space="preserve">Low Severity Issues (continued)</w:t>
      </w:r>
      <w:bookmarkEnd w:id="2014"/>
    </w:p>
    <w:tbl>
      <w:tblPr>
        <w:tblStyle w:val="Table8"/>
        <w:tblW w:w="11085" w:type="dxa"/>
        <w:jc w:val="left"/>
        <w:tblInd w:w="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320"/>
        <w:gridCol w:w="3900"/>
      </w:tblGrid>
      <w:tr>
        <w:trPr>
          <w:cantSplit w:val="1"/>
          <w:trHeight w:val="1068" w:hRule="atLeast"/>
          <w:tblHeader w:val="0"/>
        </w:trPr>
        <w:tc>
          <w:tcPr>
            <w:tcW w:w="11085" w:type="dxa"/>
            <w:gridSpan w:val="3"/>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pStyle w:val="Heading2"/>
              <w:spacing w:before="120" w:line="240" w:lineRule="auto"/>
              <w:rPr>
                <w:rFonts w:ascii="DM Sans" w:hAnsi="DM Sans" w:cs="DM Sans" w:eastAsia="DM Sans"/>
                <w:sz w:val="26"/>
                <w:szCs w:val="26"/>
              </w:rPr>
            </w:pPr>
            <w:r>
              <w:rPr>
                <w:rFonts w:ascii="DM Sans" w:hAnsi="DM Sans" w:cs="DM Sans" w:eastAsia="DM Sans"/>
                <w:sz w:val="26"/>
                <w:szCs w:val="26"/>
                <w:rtl w:val="0"/>
              </w:rPr>
              <w:t xml:space="preserve">L-02. Zero minimum delay permits repeated changes in one block</w:t>
            </w:r>
          </w:p>
        </w:tc>
      </w:tr>
      <w:tr>
        <w:trPr>
          <w:cantSplit w:val="1"/>
          <w:trHeight w:val="528" w:hRule="atLeast"/>
          <w:tblHeader w:val="0"/>
        </w:trPr>
        <w:tc>
          <w:tcPr>
            <w:tcW w:w="2865" w:type="dxa"/>
            <w:tcBorders>
              <w:top w:color="d9d9d9" w:space="0" w:sz="8" w:val="single"/>
              <w:left w:color="03ff00" w:space="0" w:sz="24" w:val="single"/>
              <w:bottom w:color="d9d9d9" w:space="0" w:sz="8" w:val="single"/>
              <w:right w:color="03ff00" w:space="0" w:sz="24" w:val="single"/>
            </w:tcBorders>
            <w:shd w:fill="d9ead3" w:val="clear"/>
            <w:tcMar>
              <w:top w:w="144" w:type="dxa"/>
              <w:left w:w="144" w:type="dxa"/>
              <w:bottom w:w="144" w:type="dxa"/>
              <w:right w:w="144" w:type="dxa"/>
            </w:tcMar>
            <w:vAlign w:val="center"/>
          </w:tcPr>
          <w:p>
            <w:pPr>
              <w:spacing w:line="240" w:lineRule="auto"/>
              <w:rPr>
                <w:b w:val="1"/>
                <w:bCs w:val="1"/>
                <w:shd w:fill="f9cb9c" w:val="clear"/>
              </w:rPr>
            </w:pPr>
            <w:r>
              <w:rPr>
                <w:rtl w:val="0"/>
              </w:rPr>
              <w:t xml:space="preserve">Severity: Low</w:t>
            </w:r>
          </w:p>
        </w:tc>
        <w:tc>
          <w:tcPr>
            <w:tcW w:w="4320" w:type="dxa"/>
            <w:tcBorders>
              <w:top w:color="d9d9d9" w:space="0" w:sz="8" w:val="single"/>
              <w:left w:color="03ff00" w:space="0" w:sz="24" w:val="single"/>
              <w:bottom w:color="d9d9d9" w:space="0" w:sz="8" w:val="single"/>
              <w:right w:color="03ff00" w:space="0" w:sz="24" w:val="single"/>
            </w:tcBorders>
            <w:shd w:fill="d9ead3" w:val="clear"/>
            <w:tcMar>
              <w:top w:w="144" w:type="dxa"/>
              <w:left w:w="144" w:type="dxa"/>
              <w:bottom w:w="144" w:type="dxa"/>
              <w:right w:w="144" w:type="dxa"/>
            </w:tcMar>
            <w:vAlign w:val="center"/>
          </w:tcPr>
          <w:p>
            <w:pPr>
              <w:spacing w:line="240" w:lineRule="auto"/>
              <w:rPr/>
            </w:pPr>
            <w:r>
              <w:rPr>
                <w:rtl w:val="0"/>
              </w:rPr>
              <w:t xml:space="preserve">Impact: Not finalized</w:t>
            </w:r>
          </w:p>
        </w:tc>
        <w:tc>
          <w:tcPr>
            <w:tcW w:w="3900" w:type="dxa"/>
            <w:tcBorders>
              <w:top w:color="d9d9d9" w:space="0" w:sz="8" w:val="single"/>
              <w:left w:color="03ff00" w:space="0" w:sz="24" w:val="single"/>
              <w:bottom w:color="d9d9d9" w:space="0" w:sz="8" w:val="single"/>
              <w:right w:color="03ff00" w:space="0" w:sz="8" w:val="single"/>
            </w:tcBorders>
            <w:shd w:fill="d9ead3" w:val="clear"/>
            <w:tcMar>
              <w:top w:w="144" w:type="dxa"/>
              <w:left w:w="144" w:type="dxa"/>
              <w:bottom w:w="144" w:type="dxa"/>
              <w:right w:w="144" w:type="dxa"/>
            </w:tcMar>
            <w:vAlign w:val="center"/>
          </w:tcPr>
          <w:p>
            <w:pPr>
              <w:spacing w:line="240" w:lineRule="auto"/>
              <w:rPr/>
            </w:pPr>
            <w:r>
              <w:rPr>
                <w:rtl w:val="0"/>
              </w:rPr>
              <w:t xml:space="preserve">Likelihood: Not finalized</w:t>
            </w:r>
          </w:p>
        </w:tc>
      </w:tr>
      <w:tr>
        <w:trPr>
          <w:cantSplit w:val="1"/>
          <w:trHeight w:val="535" w:hRule="atLeast"/>
          <w:tblHeader w:val="0"/>
        </w:trPr>
        <w:tc>
          <w:tcPr>
            <w:tcW w:w="2865" w:type="dxa"/>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spacing w:line="240" w:lineRule="auto"/>
              <w:rPr/>
            </w:pPr>
            <w:r>
              <w:rPr>
                <w:rtl w:val="0"/>
              </w:rPr>
              <w:t xml:space="preserve">Files: src/RiskSteward.sol</w:t>
            </w:r>
          </w:p>
        </w:tc>
        <w:tc>
          <w:tcPr>
            <w:tcW w:w="4320" w:type="dxa"/>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spacing w:line="240" w:lineRule="auto"/>
              <w:rPr/>
            </w:pPr>
            <w:r>
              <w:rPr>
                <w:rtl w:val="0"/>
              </w:rPr>
              <w:t xml:space="preserve">Status: Preliminary</w:t>
            </w:r>
          </w:p>
        </w:tc>
        <w:tc>
          <w:tcPr>
            <w:tcW w:w="3900" w:type="dxa"/>
            <w:tcBorders>
              <w:top w:color="d9d9d9" w:space="0" w:sz="8" w:val="single"/>
              <w:left w:color="d9d9d9" w:space="0" w:sz="8" w:val="single"/>
              <w:bottom w:color="d9d9d9" w:space="0" w:sz="8" w:val="single"/>
              <w:right w:color="d9d9d9" w:space="0" w:sz="8" w:val="single"/>
            </w:tcBorders>
            <w:shd w:fill="auto" w:val="clear"/>
            <w:tcMar>
              <w:top w:w="144" w:type="dxa"/>
              <w:left w:w="144" w:type="dxa"/>
              <w:bottom w:w="144" w:type="dxa"/>
              <w:right w:w="144" w:type="dxa"/>
            </w:tcMar>
            <w:vAlign w:val="top"/>
          </w:tcPr>
          <w:p>
            <w:pPr>
              <w:spacing w:line="240" w:lineRule="auto"/>
              <w:rPr>
                <w:highlight w:val="yellow"/>
              </w:rPr>
            </w:pPr>
            <w:r>
              <w:rPr>
                <w:rtl w:val="0"/>
              </w:rPr>
              <w:t xml:space="preserve">Violated Property: None: existing delay rules enforce the configured value, including zero.</w:t>
            </w:r>
          </w:p>
        </w:tc>
      </w:tr>
    </w:tbl>
    <w:p>
      <w:pPr>
        <w:spacing w:before="0" w:after="120" w:line="40" w:lineRule="exact"/>
      </w:pPr>
    </w:p>
    <w:p>
      <w:pPr>
        <w:shd w:fill="ffffff" w:val="clear"/>
        <w:spacing w:after="240" w:lineRule="auto"/>
        <w:jc w:val="both"/>
        <w:rPr/>
      </w:pPr>
      <w:r>
        <w:rPr>
          <w:b w:val="1"/>
          <w:bCs w:val="1"/>
          <w:color w:val="333333"/>
          <w:rtl w:val="0"/>
        </w:rPr>
        <w:t xml:space="preserve"/>
      </w:r>
      <w:r>
        <w:rPr>
          <w:rFonts w:ascii="DM Sans" w:hAnsi="DM Sans" w:cs="DM Sans" w:eastAsia="DM Sans"/>
          <w:b w:val="1"/>
          <w:bCs w:val="1"/>
          <w:color w:val="333333"/>
          <w:rtl w:val="0"/>
        </w:rPr>
        <w:t xml:space="preserve">Description: </w:t>
      </w:r>
      <w:r>
        <w:rPr>
          <w:b w:val="0"/>
          <w:bCs w:val="0"/>
        </w:rPr>
        <w:t xml:space="preserve">The owner may configure minDelay = 0. The time check then permits another update in the same block. Each call measures its change from the latest protocol value, so a per-update bound does not bound cumulative movement across repeated calls.</w:t>
      </w:r>
    </w:p>
    <w:p>
      <w:pPr>
        <w:shd w:fill="ffffff" w:val="clear"/>
        <w:spacing w:after="240" w:lineRule="auto"/>
        <w:jc w:val="both"/>
        <w:rPr/>
      </w:pPr>
      <w:r>
        <w:rPr>
          <w:b w:val="1"/>
          <w:bCs w:val="1"/>
          <w:color w:val="333333"/>
          <w:rtl w:val="0"/>
        </w:rPr>
        <w:t xml:space="preserve"/>
      </w:r>
      <w:r>
        <w:rPr>
          <w:rFonts w:ascii="DM Sans" w:hAnsi="DM Sans" w:cs="DM Sans" w:eastAsia="DM Sans"/>
          <w:b w:val="1"/>
          <w:bCs w:val="1"/>
          <w:color w:val="333333"/>
          <w:rtl w:val="0"/>
        </w:rPr>
        <w:t xml:space="preserve">Exploit Scenario: </w:t>
      </w:r>
      <w:r>
        <w:rPr>
          <w:b w:val="0"/>
          <w:bCs w:val="0"/>
        </w:rPr>
        <w:t xml:space="preserve">With a 500-unit absolute step on a basis-point parameter, a council can submit repeated permitted 500-unit reductions in one block, subject to downstream validity checks. This can materially alter risk settings faster than an intended non-zero delay. It requires a zero-delay configuration and council authority. Duplicate elements within one batch are validated against the common pre-call state and do not establish the same sequential-call compounding argument.</w:t>
      </w:r>
    </w:p>
    <w:p>
      <w:pPr>
        <w:shd w:fill="ffffff" w:val="clear"/>
        <w:spacing w:after="240" w:lineRule="auto"/>
        <w:jc w:val="both"/>
        <w:rPr>
          <w:b w:val="1"/>
          <w:bCs w:val="1"/>
          <w:color w:val="333333"/>
          <w:highlight w:val="yellow"/>
        </w:rPr>
      </w:pPr>
      <w:r>
        <w:rPr>
          <w:b w:val="1"/>
          <w:bCs w:val="1"/>
          <w:color w:val="333333"/>
          <w:rtl w:val="0"/>
        </w:rPr>
        <w:t xml:space="preserve"/>
      </w:r>
      <w:r>
        <w:rPr>
          <w:rFonts w:ascii="DM Sans" w:hAnsi="DM Sans" w:cs="DM Sans" w:eastAsia="DM Sans"/>
          <w:b w:val="1"/>
          <w:bCs w:val="1"/>
          <w:color w:val="333333"/>
          <w:rtl w:val="0"/>
        </w:rPr>
        <w:t xml:space="preserve">Recommendations: </w:t>
      </w:r>
      <w:r>
        <w:rPr>
          <w:b w:val="0"/>
          <w:bCs w:val="0"/>
        </w:rPr>
        <w:t xml:space="preserve">Require non-zero delays where time separation is intended, or document and explicitly approve exceptions during configuration review.</w:t>
      </w:r>
    </w:p>
    <w:p>
      <w:pPr>
        <w:shd w:fill="ffffff" w:val="clear"/>
        <w:spacing w:after="240" w:lineRule="auto"/>
        <w:jc w:val="both"/>
        <w:rPr/>
      </w:pPr>
      <w:r>
        <w:rPr>
          <w:b w:val="1"/>
          <w:bCs w:val="1"/>
          <w:color w:val="000000"/>
          <w:rtl w:val="0"/>
        </w:rPr>
        <w:t xml:space="preserve"/>
      </w:r>
      <w:r>
        <w:rPr>
          <w:rFonts w:ascii="DM Sans" w:hAnsi="DM Sans" w:cs="DM Sans" w:eastAsia="DM Sans"/>
          <w:b w:val="1"/>
          <w:bCs w:val="1"/>
          <w:color w:val="000000"/>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rFonts w:ascii="DM Sans" w:hAnsi="DM Sans" w:cs="DM Sans" w:eastAsia="DM Sans"/>
          <w:b w:val="1"/>
          <w:bCs w:val="1"/>
          <w:color w:val="000000"/>
          <w:rtl w:val="0"/>
        </w:rPr>
        <w:t xml:space="preserve">Fix Review: </w:t>
      </w:r>
      <w:r>
        <w:rPr>
          <w:b w:val="0"/>
          <w:bCs w:val="0"/>
        </w:rPr>
        <w:t xml:space="preserve">No remediation or approved fix is recorded. Source locations: setConfig, _validateConfig and _validateParamUpdate.</w:t>
      </w:r>
    </w:p>
    <w:p>
      <w:pPr>
        <w:pStyle w:val="Heading2"/>
        <w:keepNext w:val="1"/>
        <w:keepLines w:val="0"/>
        <w:pageBreakBefore w:val="1"/>
        <w:pBdr>
          <w:bottom w:color="eeeeee" w:space="5" w:sz="5" w:val="single"/>
        </w:pBdr>
        <w:shd w:fill="ffffff" w:val="clear"/>
        <w:spacing w:after="240" w:line="240" w:lineRule="auto"/>
        <w:ind w:left="-300" w:firstLine="0"/>
        <w:rPr>
          <w:rFonts w:ascii="DM Sans" w:hAnsi="DM Sans" w:cs="DM Sans" w:eastAsia="DM Sans"/>
          <w:color w:val="333333"/>
        </w:rPr>
      </w:pPr>
      <w:bookmarkStart w:id="2015" w:name="i_01"/>
      <w:r>
        <w:rPr>
          <w:rFonts w:ascii="DM Sans" w:cs="DM Sans" w:eastAsia="DM Sans" w:hAnsi="DM Sans"/>
          <w:color w:val="333333"/>
          <w:sz w:val="34"/>
          <w:szCs w:val="34"/>
          <w:rtl w:val="0"/>
        </w:rPr>
        <w:t xml:space="preserve">Informational Issues</w:t>
      </w:r>
      <w:bookmarkEnd w:id="2015"/>
    </w:p>
    <w:p>
      <w:pPr>
        <w:pStyle w:val="Heading2"/>
        <w:keepNext w:val="1"/>
        <w:rPr>
          <w:rFonts w:ascii="DM Sans" w:cs="DM Sans" w:eastAsia="DM Sans" w:hAnsi="DM Sans"/>
          <w:sz w:val="26"/>
          <w:szCs w:val="26"/>
        </w:rPr>
      </w:pPr>
      <w:bookmarkStart w:id="2016" w:name="i_01_title"/>
      <w:r>
        <w:rPr>
          <w:rFonts w:ascii="DM Sans" w:cs="DM Sans" w:eastAsia="DM Sans" w:hAnsi="DM Sans"/>
          <w:sz w:val="26"/>
          <w:szCs w:val="26"/>
          <w:rtl w:val="0"/>
        </w:rPr>
        <w:t xml:space="preserve">I-01. Stable and Pendle sentinels are rejected only by SafeCast</w:t>
      </w:r>
      <w:bookmarkEnd w:id="2016"/>
    </w:p>
    <w:p>
      <w:pPr>
        <w:rPr/>
      </w:pPr>
      <w:r>
        <w:rPr>
          <w:b w:val="1"/>
          <w:bCs w:val="1"/>
          <w:rtl w:val="0"/>
        </w:rPr>
        <w:t xml:space="preserve"/>
      </w:r>
      <w:r>
        <w:rPr>
          <w:rFonts w:ascii="DM Sans" w:hAnsi="DM Sans" w:cs="DM Sans" w:eastAsia="DM Sans"/>
          <w:b w:val="1"/>
          <w:bCs w:val="1"/>
          <w:rtl w:val="0"/>
        </w:rPr>
        <w:t xml:space="preserve">Description: </w:t>
      </w:r>
      <w:r>
        <w:rPr>
          <w:b w:val="0"/>
          <w:bCs w:val="0"/>
        </w:rPr>
        <w:t xml:space="preserve">The common validation helper skips KEEP_CURRENT. Stable and Pendle execution still forwards the supplied value after converting it to int256 or uint64. The sentinel fits neither type, so SafeCast reverts and rolls back the transaction. The current implementation is fail-closed, but its sentinel rejection depends on these conversions.</w:t>
      </w:r>
    </w:p>
    <w:p>
      <w:pPr>
        <w:rPr/>
      </w:pPr>
      <w:r>
        <w:rPr>
          <w:b w:val="1"/>
          <w:bCs w:val="1"/>
          <w:rtl w:val="0"/>
        </w:rPr>
        <w:t xml:space="preserve"/>
      </w:r>
      <w:r>
        <w:rPr>
          <w:rFonts w:ascii="DM Sans" w:hAnsi="DM Sans" w:cs="DM Sans" w:eastAsia="DM Sans"/>
          <w:b w:val="1"/>
          <w:bCs w:val="1"/>
          <w:rtl w:val="0"/>
        </w:rPr>
        <w:t xml:space="preserve">Recommendation: </w:t>
      </w:r>
      <w:r>
        <w:rPr>
          <w:b w:val="0"/>
          <w:bCs w:val="0"/>
        </w:rPr>
        <w:t xml:space="preserve">Reject KEEP_CURRENT explicitly in the single-value validation paths with a dedicated error. Preserve the checked casts.</w:t>
      </w:r>
    </w:p>
    <w:p>
      <w:pPr>
        <w:rPr/>
      </w:pPr>
      <w:r>
        <w:rPr>
          <w:b w:val="1"/>
          <w:bCs w:val="1"/>
          <w:rtl w:val="0"/>
        </w:rPr>
        <w:t xml:space="preserve"/>
      </w:r>
      <w:r>
        <w:rPr>
          <w:rFonts w:ascii="DM Sans" w:hAnsi="DM Sans" w:cs="DM Sans" w:eastAsia="DM Sans"/>
          <w:b w:val="1"/>
          <w:bCs w:val="1"/>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rFonts w:ascii="DM Sans" w:hAnsi="DM Sans" w:cs="DM Sans" w:eastAsia="DM Sans"/>
          <w:b w:val="1"/>
          <w:bCs w:val="1"/>
          <w:color w:val="000000"/>
          <w:rtl w:val="0"/>
        </w:rPr>
        <w:t xml:space="preserve">Fix Review: </w:t>
      </w:r>
      <w:r>
        <w:rPr>
          <w:b w:val="0"/>
          <w:bCs w:val="0"/>
        </w:rPr>
        <w:t xml:space="preserve">The existing rejection is covered by stableRejectsKeepCurrent and pendleRejectsKeepCurrent; no explicit validation fix is recorded. Source: findingSteward.txt.</w:t>
      </w:r>
    </w:p>
    <w:p>
      <w:pPr>
        <w:pStyle w:val="Heading2"/>
        <w:keepNext w:val="1"/>
        <w:keepLines w:val="0"/>
        <w:pageBreakBefore w:val="1"/>
        <w:pBdr>
          <w:bottom w:color="eeeeee" w:space="5" w:sz="5" w:val="single"/>
        </w:pBdr>
        <w:shd w:fill="ffffff" w:val="clear"/>
        <w:spacing w:after="240" w:line="240" w:lineRule="auto"/>
        <w:ind w:left="-300" w:firstLine="0"/>
        <w:rPr>
          <w:rFonts w:ascii="DM Sans" w:hAnsi="DM Sans" w:cs="DM Sans" w:eastAsia="DM Sans"/>
          <w:color w:val="333333"/>
        </w:rPr>
      </w:pPr>
      <w:bookmarkStart w:id="2017" w:name="i_02"/>
      <w:r>
        <w:rPr>
          <w:rFonts w:ascii="DM Sans" w:cs="DM Sans" w:eastAsia="DM Sans" w:hAnsi="DM Sans"/>
          <w:color w:val="333333"/>
          <w:sz w:val="34"/>
          <w:szCs w:val="34"/>
          <w:rtl w:val="0"/>
        </w:rPr>
        <w:t xml:space="preserve">Informational Issues (continued)</w:t>
      </w:r>
      <w:bookmarkEnd w:id="2017"/>
    </w:p>
    <w:p>
      <w:pPr>
        <w:pStyle w:val="Heading2"/>
        <w:keepNext w:val="1"/>
        <w:rPr>
          <w:rFonts w:ascii="DM Sans" w:cs="DM Sans" w:eastAsia="DM Sans" w:hAnsi="DM Sans"/>
          <w:sz w:val="26"/>
          <w:szCs w:val="26"/>
        </w:rPr>
      </w:pPr>
      <w:bookmarkStart w:id="2018" w:name="i_02_title"/>
      <w:r>
        <w:rPr>
          <w:rFonts w:ascii="DM Sans" w:cs="DM Sans" w:eastAsia="DM Sans" w:hAnsi="DM Sans"/>
          <w:sz w:val="26"/>
          <w:szCs w:val="26"/>
          <w:rtl w:val="0"/>
        </w:rPr>
        <w:t xml:space="preserve">I-02. LST magnitude limits cover only the growth-rate input</w:t>
      </w:r>
      <w:bookmarkEnd w:id="2018"/>
    </w:p>
    <w:p>
      <w:pPr>
        <w:rPr/>
      </w:pPr>
      <w:r>
        <w:rPr>
          <w:b w:val="1"/>
          <w:bCs w:val="1"/>
          <w:rtl w:val="0"/>
        </w:rPr>
        <w:t xml:space="preserve"/>
      </w:r>
      <w:r>
        <w:rPr>
          <w:rFonts w:ascii="DM Sans" w:hAnsi="DM Sans" w:cs="DM Sans" w:eastAsia="DM Sans"/>
          <w:b w:val="1"/>
          <w:bCs w:val="1"/>
          <w:rtl w:val="0"/>
        </w:rPr>
        <w:t xml:space="preserve">Description: </w:t>
      </w:r>
      <w:r>
        <w:rPr>
          <w:b w:val="0"/>
          <w:bCs w:val="0"/>
        </w:rPr>
        <w:t xml:space="preserve">The LST update carries snapshotRatio, snapshotTimestamp and maxYearlyRatioGrowthPercent. The steward bounds only the growth percentage. The other inputs must be non-zero, the snapshot ratio must not exceed the live ratio, and execution requires an uncapped result. These checks do not express a percentage bound on the effective LST price cap; actual adapter validation remains relevant.</w:t>
      </w:r>
    </w:p>
    <w:p>
      <w:pPr>
        <w:rPr/>
      </w:pPr>
      <w:r>
        <w:rPr>
          <w:b w:val="1"/>
          <w:bCs w:val="1"/>
          <w:rtl w:val="0"/>
        </w:rPr>
        <w:t xml:space="preserve"/>
      </w:r>
      <w:r>
        <w:rPr>
          <w:rFonts w:ascii="DM Sans" w:hAnsi="DM Sans" w:cs="DM Sans" w:eastAsia="DM Sans"/>
          <w:b w:val="1"/>
          <w:bCs w:val="1"/>
          <w:rtl w:val="0"/>
        </w:rPr>
        <w:t xml:space="preserve">Recommendation: </w:t>
      </w:r>
      <w:r>
        <w:rPr>
          <w:b w:val="0"/>
          <w:bCs w:val="0"/>
        </w:rPr>
        <w:t xml:space="preserve">Confirm the intended mandate and document that the magnitude property covers maxYearlyRatioGrowthPercent. Add snapshot/effective-cap constraints only if that wider protection is required.</w:t>
      </w:r>
    </w:p>
    <w:p>
      <w:pPr>
        <w:rPr/>
      </w:pPr>
      <w:r>
        <w:rPr>
          <w:b w:val="1"/>
          <w:bCs w:val="1"/>
          <w:rtl w:val="0"/>
        </w:rPr>
        <w:t xml:space="preserve"/>
      </w:r>
      <w:r>
        <w:rPr>
          <w:rFonts w:ascii="DM Sans" w:hAnsi="DM Sans" w:cs="DM Sans" w:eastAsia="DM Sans"/>
          <w:b w:val="1"/>
          <w:bCs w:val="1"/>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rFonts w:ascii="DM Sans" w:hAnsi="DM Sans" w:cs="DM Sans" w:eastAsia="DM Sans"/>
          <w:b w:val="1"/>
          <w:bCs w:val="1"/>
          <w:color w:val="000000"/>
          <w:rtl w:val="0"/>
        </w:rPr>
        <w:t xml:space="preserve">Fix Review: </w:t>
      </w:r>
      <w:r>
        <w:rPr>
          <w:b w:val="0"/>
          <w:bCs w:val="0"/>
        </w:rPr>
        <w:t xml:space="preserve">Intent is not confirmed in the supplied notes. No code fix is recorded. Source: finding.txt.</w:t>
      </w:r>
    </w:p>
    <w:p>
      <w:pPr>
        <w:pStyle w:val="Heading2"/>
        <w:keepNext w:val="1"/>
        <w:keepLines w:val="0"/>
        <w:pageBreakBefore w:val="1"/>
        <w:pBdr>
          <w:bottom w:color="eeeeee" w:space="5" w:sz="5" w:val="single"/>
        </w:pBdr>
        <w:shd w:fill="ffffff" w:val="clear"/>
        <w:spacing w:after="240" w:line="240" w:lineRule="auto"/>
        <w:ind w:left="-300" w:firstLine="0"/>
        <w:rPr>
          <w:rFonts w:ascii="DM Sans" w:hAnsi="DM Sans" w:cs="DM Sans" w:eastAsia="DM Sans"/>
          <w:color w:val="333333"/>
        </w:rPr>
      </w:pPr>
      <w:bookmarkStart w:id="2019" w:name="i_03"/>
      <w:r>
        <w:rPr>
          <w:rFonts w:ascii="DM Sans" w:cs="DM Sans" w:eastAsia="DM Sans" w:hAnsi="DM Sans"/>
          <w:color w:val="333333"/>
          <w:sz w:val="34"/>
          <w:szCs w:val="34"/>
          <w:rtl w:val="0"/>
        </w:rPr>
        <w:t xml:space="preserve">Informational Issues (continued)</w:t>
      </w:r>
      <w:bookmarkEnd w:id="2019"/>
    </w:p>
    <w:p>
      <w:pPr>
        <w:pStyle w:val="Heading2"/>
        <w:keepNext w:val="1"/>
        <w:rPr>
          <w:rFonts w:ascii="DM Sans" w:cs="DM Sans" w:eastAsia="DM Sans" w:hAnsi="DM Sans"/>
          <w:sz w:val="26"/>
          <w:szCs w:val="26"/>
        </w:rPr>
      </w:pPr>
      <w:bookmarkStart w:id="2020" w:name="i_03_title"/>
      <w:r>
        <w:rPr>
          <w:rFonts w:ascii="DM Sans" w:cs="DM Sans" w:eastAsia="DM Sans" w:hAnsi="DM Sans"/>
          <w:sz w:val="26"/>
          <w:szCs w:val="26"/>
          <w:rtl w:val="0"/>
        </w:rPr>
        <w:t xml:space="preserve">I-03. Relative limits cannot raise a parameter from zero</w:t>
      </w:r>
      <w:bookmarkEnd w:id="2020"/>
    </w:p>
    <w:p>
      <w:pPr>
        <w:rPr/>
      </w:pPr>
      <w:r>
        <w:rPr>
          <w:b w:val="1"/>
          <w:bCs w:val="1"/>
          <w:rtl w:val="0"/>
        </w:rPr>
        <w:t xml:space="preserve"/>
      </w:r>
      <w:r>
        <w:rPr>
          <w:rFonts w:ascii="DM Sans" w:hAnsi="DM Sans" w:cs="DM Sans" w:eastAsia="DM Sans"/>
          <w:b w:val="1"/>
          <w:bCs w:val="1"/>
          <w:rtl w:val="0"/>
        </w:rPr>
        <w:t xml:space="preserve">Description: </w:t>
      </w:r>
      <w:r>
        <w:rPr>
          <w:b w:val="0"/>
          <w:bCs w:val="0"/>
        </w:rPr>
        <w:t xml:space="preserve">A relative bound is floor(currentValue × maxPercentChange / 10,000). At a current value of zero, its allowed delta is zero. The steward therefore cannot raise a relative-mode parameter from zero; small values may also round down to a zero allowed step. The source explicitly documents the zero behavior.</w:t>
      </w:r>
    </w:p>
    <w:p>
      <w:pPr>
        <w:rPr/>
      </w:pPr>
      <w:r>
        <w:rPr>
          <w:b w:val="1"/>
          <w:bCs w:val="1"/>
          <w:rtl w:val="0"/>
        </w:rPr>
        <w:t xml:space="preserve"/>
      </w:r>
      <w:r>
        <w:rPr>
          <w:rFonts w:ascii="DM Sans" w:hAnsi="DM Sans" w:cs="DM Sans" w:eastAsia="DM Sans"/>
          <w:b w:val="1"/>
          <w:bCs w:val="1"/>
          <w:rtl w:val="0"/>
        </w:rPr>
        <w:t xml:space="preserve">Recommendation: </w:t>
      </w:r>
      <w:r>
        <w:rPr>
          <w:b w:val="0"/>
          <w:bCs w:val="0"/>
        </w:rPr>
        <w:t xml:space="preserve">Document governance recovery procedures for zero caps and other affected values. Avoid relying on the council path to reopen a relative-mode parameter from zero.</w:t>
      </w:r>
    </w:p>
    <w:p>
      <w:pPr>
        <w:rPr/>
      </w:pPr>
      <w:r>
        <w:rPr>
          <w:b w:val="1"/>
          <w:bCs w:val="1"/>
          <w:rtl w:val="0"/>
        </w:rPr>
        <w:t xml:space="preserve"/>
      </w:r>
      <w:r>
        <w:rPr>
          <w:rFonts w:ascii="DM Sans" w:hAnsi="DM Sans" w:cs="DM Sans" w:eastAsia="DM Sans"/>
          <w:b w:val="1"/>
          <w:bCs w:val="1"/>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rFonts w:ascii="DM Sans" w:hAnsi="DM Sans" w:cs="DM Sans" w:eastAsia="DM Sans"/>
          <w:b w:val="1"/>
          <w:bCs w:val="1"/>
          <w:color w:val="000000"/>
          <w:rtl w:val="0"/>
        </w:rPr>
        <w:t xml:space="preserve">Fix Review: </w:t>
      </w:r>
      <w:r>
        <w:rPr>
          <w:b w:val="0"/>
          <w:bCs w:val="0"/>
        </w:rPr>
        <w:t xml:space="preserve">Documented operational behavior; no code change is proposed by the local note. Source: finding.txt.</w:t>
      </w:r>
    </w:p>
    <w:p>
      <w:pPr>
        <w:pStyle w:val="Heading1"/>
        <w:keepNext w:val="1"/>
        <w:pageBreakBefore w:val="1"/>
        <w:rPr>
          <w:rFonts w:ascii="DM Sans" w:hAnsi="DM Sans" w:cs="DM Sans" w:eastAsia="DM Sans"/>
        </w:rPr>
      </w:pPr>
      <w:bookmarkStart w:id="2021" w:name="formal_verification"/>
      <w:r>
        <w:rPr>
          <w:rFonts w:ascii="DM Sans" w:hAnsi="DM Sans" w:cs="DM Sans" w:eastAsia="DM Sans"/>
          <w:rtl w:val="0"/>
        </w:rPr>
        <w:t xml:space="preserve">Formal Verification</w:t>
      </w:r>
      <w:bookmarkEnd w:id="2021"/>
    </w:p>
    <w:p>
      <w:pPr>
        <w:pStyle w:val="Heading2"/>
        <w:keepNext w:val="1"/>
        <w:spacing w:after="200" w:lineRule="auto"/>
        <w:rPr>
          <w:rFonts w:ascii="DM Sans" w:hAnsi="DM Sans" w:cs="DM Sans" w:eastAsia="DM Sans"/>
        </w:rPr>
      </w:pPr>
      <w:bookmarkStart w:id="2022" w:name="methodology"/>
      <w:r>
        <w:rPr>
          <w:rFonts w:ascii="DM Sans" w:hAnsi="DM Sans" w:cs="DM Sans" w:eastAsia="DM Sans"/>
          <w:rtl w:val="0"/>
        </w:rPr>
        <w:t xml:space="preserve">Verification Methodology (Solidity)</w:t>
      </w:r>
      <w:bookmarkEnd w:id="2022"/>
    </w:p>
    <w:p>
      <w:pPr>
        <w:spacing w:after="200" w:lineRule="auto"/>
        <w:jc w:val="both"/>
        <w:rPr>
          <w:b w:val="1"/>
          <w:bCs w:val="1"/>
          <w:color w:val="000000"/>
        </w:rPr>
      </w:pPr>
      <w:r>
        <w:rPr>
          <w:color w:val="000000"/>
          <w:rtl w:val="0"/>
        </w:rPr>
        <w:t xml:space="preserve">The Certora Prover compiles Solidity and CVL specifications into verification conditions checked by SMT solvers. Each rule supplies symbolic inputs and any stated assumptions, invokes the selected functionality, and checks assertions over the resulting state. A passing result applies to the modeled executions and assumptions of that rule.</w:t>
      </w:r>
    </w:p>
    <w:p>
      <w:pPr>
        <w:spacing w:after="200" w:lineRule="auto"/>
        <w:jc w:val="both"/>
        <w:rPr>
          <w:b w:val="1"/>
          <w:bCs w:val="1"/>
          <w:color w:val="000000"/>
        </w:rPr>
      </w:pPr>
      <w:r>
        <w:rPr>
          <w:color w:val="000000"/>
          <w:rtl w:val="0"/>
        </w:rPr>
        <w:t xml:space="preserve">This suite uses rules rather than CVL invariant declarations. Parametric rules quantify over selected RiskSteward methods; transition rules compare pre-call and post-call state. Rules using @withrevert inspect the revert flag. Other calls retain successful executions, so sanity checks are needed to detect vacuous proofs.</w:t>
      </w:r>
    </w:p>
    <w:p>
      <w:pPr>
        <w:spacing w:after="200" w:lineRule="auto"/>
        <w:jc w:val="both"/>
        <w:rPr>
          <w:b w:val="1"/>
          <w:bCs w:val="1"/>
          <w:color w:val="000000"/>
        </w:rPr>
      </w:pPr>
      <w:r>
        <w:rPr>
          <w:color w:val="000000"/>
          <w:rtl w:val="0"/>
        </w:rPr>
        <w:t xml:space="preserve">Fresh baseline runs use certora/confs and certora/specs. Historical annotations are descriptive aids, not proof evidence: the report copies of ProtocolEffects, Immutability and SceneDispatch differ from the current canonical suite. In particular, the current immutability rules include preservation of earlier dynamic keys and IR/liquidation sentinel fields; three historical general key-isolation rules are absent.</w:t>
      </w:r>
    </w:p>
    <w:p>
      <w:pPr>
        <w:pStyle w:val="Heading2"/>
        <w:keepNext w:val="1"/>
        <w:spacing w:after="200" w:lineRule="auto"/>
        <w:rPr>
          <w:rFonts w:ascii="DM Sans" w:hAnsi="DM Sans" w:cs="DM Sans" w:eastAsia="DM Sans"/>
        </w:rPr>
      </w:pPr>
      <w:bookmarkStart w:id="2023" w:name="mutation"/>
      <w:r>
        <w:rPr>
          <w:rFonts w:ascii="DM Sans" w:hAnsi="DM Sans" w:cs="DM Sans" w:eastAsia="DM Sans"/>
          <w:rtl w:val="0"/>
        </w:rPr>
        <w:t xml:space="preserve">Recorded Mutation Campaign</w:t>
      </w:r>
      <w:bookmarkEnd w:id="2023"/>
    </w:p>
    <w:p>
      <w:pPr>
        <w:spacing w:after="200" w:lineRule="auto"/>
        <w:jc w:val="both"/>
        <w:rPr>
          <w:b w:val="1"/>
          <w:bCs w:val="1"/>
          <w:color w:val="000000"/>
        </w:rPr>
      </w:pPr>
      <w:r>
        <w:rPr>
          <w:color w:val="000000"/>
          <w:rtl w:val="0"/>
        </w:rPr>
        <w:t xml:space="preserve">The recorded campaign submitted 117 isolated RiskSteward mutants. Raw verdicts contain 113 KILLED, three SURVIVED and one SANITY_FAILED. RESULTS.md classifies the four exceptions as equivalent or vacuous and superseded by replacement mutants; those replacements were killed. This is evidence that selected historical rules detected seeded faults, not evidence that the current baseline passes.</w:t>
      </w:r>
    </w:p>
    <w:p>
      <w:pPr>
        <w:spacing w:after="200" w:lineRule="auto"/>
        <w:jc w:val="both"/>
        <w:rPr>
          <w:b w:val="1"/>
          <w:bCs w:val="1"/>
          <w:color w:val="000000"/>
        </w:rPr>
      </w:pPr>
      <w:r>
        <w:rPr>
          <w:color w:val="000000"/>
          <w:rtl w:val="0"/>
        </w:rPr>
        <w:t xml:space="preserve">The campaign does not mutate PercentageMathWrapper. It also includes removed rule names, including riskCouncilImmutable, nine empty-batch rules and the former key-isolation rules. These are not counted as current formal coverage. Source: certora/mutations/RESULTS.md, verdicts.json and MUTANTS.md.</w:t>
      </w:r>
    </w:p>
    <w:p>
      <w:pPr>
        <w:pStyle w:val="Heading2"/>
        <w:keepNext w:val="1"/>
        <w:pageBreakBefore w:val="1"/>
        <w:rPr>
          <w:rFonts w:ascii="DM Sans" w:hAnsi="DM Sans" w:cs="DM Sans" w:eastAsia="DM Sans"/>
        </w:rPr>
      </w:pPr>
      <w:bookmarkStart w:id="2024" w:name="notations"/>
      <w:r>
        <w:rPr>
          <w:rFonts w:ascii="DM Sans" w:hAnsi="DM Sans" w:cs="DM Sans" w:eastAsia="DM Sans"/>
          <w:rtl w:val="0"/>
        </w:rPr>
        <w:t xml:space="preserve">Verification Notations</w:t>
      </w:r>
      <w:bookmarkEnd w:id="2024"/>
    </w:p>
    <w:tbl>
      <w:tblPr>
        <w:tblStyle w:val="Table9"/>
        <w:tblW w:w="1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310"/>
        <w:gridCol w:w="105"/>
        <w:gridCol w:w="2160"/>
      </w:tblGrid>
      <w:tr>
        <w:trPr>
          <w:cantSplit w:val="1"/>
          <w:tblHeader w:val="0"/>
        </w:trPr>
        <w:tc>
          <w:tcPr>
            <w:tcW w:w="3225" w:type="dxa"/>
            <w:tcBorders>
              <w:top w:color="000000" w:space="0" w:sz="0" w:val="nil"/>
              <w:left w:color="00ff00" w:space="0" w:sz="24" w:val="single"/>
              <w:bottom w:color="ffffff" w:space="0" w:sz="24" w:val="single"/>
              <w:right w:color="000000" w:space="0" w:sz="0" w:val="nil"/>
            </w:tcBorders>
            <w:shd w:fill="d9ead3" w:val="clear"/>
            <w:tcMar>
              <w:top w:w="144" w:type="dxa"/>
              <w:left w:w="144" w:type="dxa"/>
              <w:bottom w:w="144" w:type="dxa"/>
              <w:right w:w="144" w:type="dxa"/>
            </w:tcMar>
            <w:vAlign w:val="center"/>
          </w:tcPr>
          <w:p>
            <w:pPr>
              <w:spacing w:line="240" w:lineRule="auto"/>
              <w:rPr>
                <w:b w:val="1"/>
                <w:bCs w:val="1"/>
              </w:rPr>
            </w:pPr>
            <w:r>
              <w:rPr>
                <w:rtl w:val="0"/>
              </w:rPr>
              <w:t xml:space="preserve">Verified</w:t>
            </w:r>
          </w:p>
        </w:tc>
        <w:tc>
          <w:tcPr>
            <w:tcW w:w="5310" w:type="dxa"/>
            <w:tcBorders>
              <w:top w:color="000000" w:space="0" w:sz="0" w:val="nil"/>
              <w:left w:color="00ff00" w:space="0" w:sz="24" w:val="single"/>
              <w:bottom w:color="ffffff" w:space="0" w:sz="24" w:val="single"/>
              <w:right w:color="000000" w:space="0" w:sz="0" w:val="nil"/>
            </w:tcBorders>
            <w:shd w:fill="d9ead3" w:val="clear"/>
            <w:tcMar>
              <w:top w:w="144" w:type="dxa"/>
              <w:left w:w="144" w:type="dxa"/>
              <w:bottom w:w="144" w:type="dxa"/>
              <w:right w:w="144" w:type="dxa"/>
            </w:tcMar>
            <w:vAlign w:val="center"/>
          </w:tcPr>
          <w:p>
            <w:pPr>
              <w:spacing w:line="240" w:lineRule="auto"/>
              <w:rPr/>
            </w:pPr>
            <w:r>
              <w:rPr>
                <w:rtl w:val="0"/>
              </w:rPr>
              <w:t xml:space="preserve">All relevant assertion leaves and checked sanity obligations passed for the current submitted configuration.</w:t>
            </w:r>
          </w:p>
        </w:tc>
        <w:tc>
          <w:tcPr>
            <w:tcW w:w="2265" w:type="dxa"/>
            <w:gridSpan w:val="2"/>
            <w:tcBorders>
              <w:top w:color="000000" w:space="0" w:sz="0" w:val="nil"/>
              <w:left w:color="000000" w:space="0" w:sz="0" w:val="nil"/>
              <w:bottom w:color="ffffff" w:space="0" w:sz="24" w:val="single"/>
              <w:right w:color="000000" w:space="0" w:sz="0" w:val="nil"/>
            </w:tcBorders>
            <w:tcMar>
              <w:top w:w="144" w:type="dxa"/>
              <w:left w:w="144" w:type="dxa"/>
              <w:bottom w:w="144" w:type="dxa"/>
              <w:right w:w="144" w:type="dxa"/>
            </w:tcMar>
            <w:vAlign w:val="center"/>
          </w:tcPr>
          <w:p>
            <w:pPr>
              <w:spacing w:line="240" w:lineRule="auto"/>
              <w:rPr/>
            </w:pPr>
            <w:r>
              <w:rPr>
                <w:rtl w:val="0"/>
              </w:rPr>
            </w:r>
          </w:p>
        </w:tc>
      </w:tr>
      <w:tr>
        <w:trPr>
          <w:cantSplit w:val="1"/>
          <w:trHeight w:val="825" w:hRule="atLeast"/>
          <w:tblHeader w:val="0"/>
        </w:trPr>
        <w:tc>
          <w:tcPr>
            <w:tcW w:w="3225" w:type="dxa"/>
            <w:tcBorders>
              <w:top w:color="ffffff" w:space="0" w:sz="24" w:val="single"/>
              <w:left w:color="6d9eeb" w:space="0" w:sz="24" w:val="single"/>
              <w:bottom w:color="000000" w:space="0" w:sz="0" w:val="nil"/>
              <w:right w:color="4a86e8" w:space="0" w:sz="24" w:val="single"/>
            </w:tcBorders>
            <w:shd w:fill="c9daf8" w:val="clear"/>
            <w:tcMar>
              <w:top w:w="144" w:type="dxa"/>
              <w:left w:w="144" w:type="dxa"/>
              <w:bottom w:w="144" w:type="dxa"/>
              <w:right w:w="144" w:type="dxa"/>
            </w:tcMar>
            <w:vAlign w:val="center"/>
          </w:tcPr>
          <w:p>
            <w:pPr>
              <w:spacing w:line="240" w:lineRule="auto"/>
              <w:rPr/>
            </w:pPr>
            <w:r>
              <w:rPr>
                <w:rtl w:val="0"/>
              </w:rPr>
              <w:t xml:space="preserve">Verified after fix</w:t>
            </w:r>
          </w:p>
        </w:tc>
        <w:tc>
          <w:tcPr>
            <w:tcW w:w="5310" w:type="dxa"/>
            <w:tcBorders>
              <w:top w:color="000000" w:space="0" w:sz="0" w:val="nil"/>
              <w:left w:color="4a86e8" w:space="0" w:sz="24" w:val="single"/>
              <w:bottom w:color="ffffff" w:space="0" w:sz="24" w:val="single"/>
              <w:right w:color="000000" w:space="0" w:sz="0" w:val="nil"/>
            </w:tcBorders>
            <w:shd w:fill="c9daf8" w:val="clear"/>
            <w:tcMar>
              <w:top w:w="144" w:type="dxa"/>
              <w:left w:w="144" w:type="dxa"/>
              <w:bottom w:w="144" w:type="dxa"/>
              <w:right w:w="144" w:type="dxa"/>
            </w:tcMar>
            <w:vAlign w:val="center"/>
          </w:tcPr>
          <w:p>
            <w:pPr>
              <w:spacing w:line="240" w:lineRule="auto"/>
              <w:rPr/>
            </w:pPr>
            <w:r>
              <w:rPr>
                <w:rtl w:val="0"/>
              </w:rPr>
              <w:t xml:space="preserve">A recorded implementation fix is followed by a passing fresh proof. No such remediation status is inferred from mutation testing.</w:t>
            </w:r>
          </w:p>
        </w:tc>
        <w:tc>
          <w:tcPr>
            <w:tcW w:w="2265" w:type="dxa"/>
            <w:gridSpan w:val="2"/>
            <w:tcBorders>
              <w:top w:color="ffffff" w:space="0" w:sz="24" w:val="single"/>
              <w:left w:color="000000" w:space="0" w:sz="0" w:val="nil"/>
              <w:bottom w:color="000000" w:space="0" w:sz="0" w:val="nil"/>
              <w:right w:color="000000" w:space="0" w:sz="0" w:val="nil"/>
            </w:tcBorders>
            <w:tcMar>
              <w:top w:w="144" w:type="dxa"/>
              <w:left w:w="144" w:type="dxa"/>
              <w:bottom w:w="144" w:type="dxa"/>
              <w:right w:w="144" w:type="dxa"/>
            </w:tcMar>
            <w:vAlign w:val="center"/>
          </w:tcPr>
          <w:p>
            <w:pPr>
              <w:spacing w:line="240" w:lineRule="auto"/>
              <w:rPr/>
            </w:pPr>
            <w:r>
              <w:rPr>
                <w:rtl w:val="0"/>
              </w:rPr>
            </w:r>
          </w:p>
        </w:tc>
      </w:tr>
      <w:tr>
        <w:trPr>
          <w:cantSplit w:val="1"/>
          <w:trHeight w:val="825" w:hRule="atLeast"/>
          <w:tblHeader w:val="0"/>
        </w:trPr>
        <w:tc>
          <w:tcPr>
            <w:tcW w:w="3225" w:type="dxa"/>
            <w:tcBorders>
              <w:top w:color="ffffff" w:space="0" w:sz="24" w:val="single"/>
              <w:left w:color="ea9999" w:space="0" w:sz="24" w:val="single"/>
              <w:bottom w:color="000000" w:space="0" w:sz="0" w:val="nil"/>
              <w:right w:color="ea9999" w:space="0" w:sz="24" w:val="single"/>
            </w:tcBorders>
            <w:shd w:fill="f4cccc" w:val="clear"/>
            <w:tcMar>
              <w:top w:w="144" w:type="dxa"/>
              <w:left w:w="144" w:type="dxa"/>
              <w:bottom w:w="144" w:type="dxa"/>
              <w:right w:w="144" w:type="dxa"/>
            </w:tcMar>
            <w:vAlign w:val="center"/>
          </w:tcPr>
          <w:p>
            <w:pPr>
              <w:spacing w:line="240" w:lineRule="auto"/>
              <w:rPr/>
            </w:pPr>
            <w:r>
              <w:rPr>
                <w:rtl w:val="0"/>
              </w:rPr>
              <w:t xml:space="preserve">Violated</w:t>
            </w:r>
          </w:p>
        </w:tc>
        <w:tc>
          <w:tcPr>
            <w:tcW w:w="5310" w:type="dxa"/>
            <w:tcBorders>
              <w:top w:color="000000" w:space="0" w:sz="0" w:val="nil"/>
              <w:left w:color="ea9999" w:space="0" w:sz="24" w:val="single"/>
              <w:bottom w:color="ffffff" w:space="0" w:sz="24" w:val="single"/>
              <w:right w:color="000000" w:space="0" w:sz="0" w:val="nil"/>
            </w:tcBorders>
            <w:shd w:fill="f4cccc" w:val="clear"/>
            <w:tcMar>
              <w:top w:w="144" w:type="dxa"/>
              <w:left w:w="144" w:type="dxa"/>
              <w:bottom w:w="144" w:type="dxa"/>
              <w:right w:w="144" w:type="dxa"/>
            </w:tcMar>
            <w:vAlign w:val="center"/>
          </w:tcPr>
          <w:p>
            <w:pPr>
              <w:spacing w:line="240" w:lineRule="auto"/>
              <w:rPr/>
            </w:pPr>
            <w:r>
              <w:rPr>
                <w:rtl w:val="0"/>
              </w:rPr>
              <w:t xml:space="preserve">A current assertion has a counterexample. Root-cause assessment distinguishes implementation behavior from modeling issues.</w:t>
            </w:r>
          </w:p>
        </w:tc>
        <w:tc>
          <w:tcPr>
            <w:tcW w:w="2265" w:type="dxa"/>
            <w:gridSpan w:val="2"/>
            <w:tcBorders>
              <w:top w:color="ffffff" w:space="0" w:sz="24" w:val="single"/>
              <w:left w:color="000000" w:space="0" w:sz="0" w:val="nil"/>
              <w:bottom w:color="000000" w:space="0" w:sz="0" w:val="nil"/>
              <w:right w:color="000000" w:space="0" w:sz="0" w:val="nil"/>
            </w:tcBorders>
            <w:tcMar>
              <w:top w:w="144" w:type="dxa"/>
              <w:left w:w="144" w:type="dxa"/>
              <w:bottom w:w="144" w:type="dxa"/>
              <w:right w:w="144" w:type="dxa"/>
            </w:tcMar>
            <w:vAlign w:val="center"/>
          </w:tcPr>
          <w:p>
            <w:pPr>
              <w:spacing w:line="240" w:lineRule="auto"/>
              <w:rPr/>
            </w:pPr>
            <w:r>
              <w:rPr>
                <w:rtl w:val="0"/>
              </w:rPr>
            </w:r>
          </w:p>
          <w:p>
            <w:pPr>
              <w:spacing w:line="240" w:lineRule="auto"/>
              <w:rPr/>
            </w:pPr>
            <w:r>
              <w:rPr>
                <w:rtl w:val="0"/>
              </w:rPr>
            </w:r>
          </w:p>
        </w:tc>
      </w:tr>
      <w:tr>
        <w:trPr>
          <w:cantSplit w:val="1"/>
          <w:trHeight w:val="825" w:hRule="atLeast"/>
          <w:tblHeader w:val="0"/>
        </w:trPr>
        <w:tc>
          <w:tcPr>
            <w:tcW w:w="3225" w:type="dxa"/>
            <w:tcBorders>
              <w:top w:color="ffffff" w:space="0" w:sz="24" w:val="single"/>
              <w:left w:color="f1c232" w:space="0" w:sz="24" w:val="single"/>
              <w:bottom w:color="000000" w:space="0" w:sz="0" w:val="nil"/>
              <w:right w:color="f1c232" w:space="0" w:sz="24" w:val="single"/>
            </w:tcBorders>
            <w:shd w:fill="fff2cc" w:val="clear"/>
            <w:tcMar>
              <w:top w:w="144" w:type="dxa"/>
              <w:left w:w="144" w:type="dxa"/>
              <w:bottom w:w="144" w:type="dxa"/>
              <w:right w:w="144" w:type="dxa"/>
            </w:tcMar>
            <w:vAlign w:val="center"/>
          </w:tcPr>
          <w:p>
            <w:pPr>
              <w:spacing w:line="240" w:lineRule="auto"/>
              <w:rPr/>
            </w:pPr>
            <w:r>
              <w:rPr>
                <w:rtl w:val="0"/>
              </w:rPr>
              <w:t xml:space="preserve">Pending / Inconclusive</w:t>
            </w:r>
          </w:p>
        </w:tc>
        <w:tc>
          <w:tcPr>
            <w:tcW w:w="5310" w:type="dxa"/>
            <w:tcBorders>
              <w:top w:color="000000" w:space="0" w:sz="0" w:val="nil"/>
              <w:left w:color="f1c232" w:space="0" w:sz="24" w:val="single"/>
              <w:bottom w:color="ffffff" w:space="0" w:sz="24" w:val="single"/>
              <w:right w:color="000000" w:space="0" w:sz="0" w:val="nil"/>
            </w:tcBorders>
            <w:shd w:fill="fff2cc" w:val="clear"/>
            <w:tcMar>
              <w:top w:w="144" w:type="dxa"/>
              <w:left w:w="144" w:type="dxa"/>
              <w:bottom w:w="144" w:type="dxa"/>
              <w:right w:w="144" w:type="dxa"/>
            </w:tcMar>
            <w:vAlign w:val="center"/>
          </w:tcPr>
          <w:p>
            <w:pPr>
              <w:spacing w:line="240" w:lineRule="auto"/>
              <w:rPr/>
            </w:pPr>
            <w:r>
              <w:rPr>
                <w:rtl w:val="0"/>
              </w:rPr>
              <w:t xml:space="preserve">Pending means the run is unfinished. Inconclusive covers timeout, error or failed sanity; these are not verified results.</w:t>
            </w:r>
          </w:p>
        </w:tc>
        <w:tc>
          <w:tcPr>
            <w:tcW w:w="2265" w:type="dxa"/>
            <w:gridSpan w:val="2"/>
            <w:tcBorders>
              <w:top w:color="ffffff" w:space="0" w:sz="24" w:val="single"/>
              <w:left w:color="000000" w:space="0" w:sz="0" w:val="nil"/>
              <w:bottom w:color="000000" w:space="0" w:sz="0" w:val="nil"/>
              <w:right w:color="000000" w:space="0" w:sz="0" w:val="nil"/>
            </w:tcBorders>
            <w:tcMar>
              <w:top w:w="144" w:type="dxa"/>
              <w:left w:w="144" w:type="dxa"/>
              <w:bottom w:w="144" w:type="dxa"/>
              <w:right w:w="144" w:type="dxa"/>
            </w:tcMar>
            <w:vAlign w:val="center"/>
          </w:tcPr>
          <w:p>
            <w:pPr>
              <w:spacing w:line="240" w:lineRule="auto"/>
              <w:rPr/>
            </w:pPr>
            <w:r>
              <w:rPr>
                <w:rtl w:val="0"/>
              </w:rPr>
            </w:r>
          </w:p>
        </w:tc>
      </w:tr>
    </w:tbl>
    <w:p>
      <w:pPr>
        <w:pStyle w:val="Heading2"/>
        <w:keepNext w:val="1"/>
        <w:pageBreakBefore w:val="1"/>
        <w:spacing w:before="400" w:lineRule="auto"/>
        <w:rPr>
          <w:rFonts w:ascii="DM Sans" w:hAnsi="DM Sans" w:cs="DM Sans" w:eastAsia="DM Sans"/>
        </w:rPr>
      </w:pPr>
      <w:bookmarkStart w:id="2025" w:name="assumptions"/>
      <w:r>
        <w:rPr>
          <w:rFonts w:ascii="DM Sans" w:hAnsi="DM Sans" w:cs="DM Sans" w:eastAsia="DM Sans"/>
          <w:rtl w:val="0"/>
        </w:rPr>
        <w:t xml:space="preserve">General Assumptions and Simplifications</w:t>
      </w:r>
      <w:bookmarkEnd w:id="2025"/>
    </w:p>
    <w:p>
      <w:pPr>
        <w:keepLines w:val="1"/>
        <w:numPr>
          <w:ilvl w:val="0"/>
          <w:numId w:val="1"/>
        </w:numPr>
        <w:ind w:left="720" w:hanging="360"/>
        <w:rPr>
          <w:u w:val="none"/>
        </w:rPr>
      </w:pPr>
      <w:r>
        <w:rPr>
          <w:rtl w:val="0"/>
        </w:rPr>
        <w:t xml:space="preserve">Configuration: all eight configurations use solc8.28 and basic rule sanity. Seven RiskSteward configurations use optimistic_loop, optimistic_hashing and hashing_length_bound = 1024. ProtocolEffects uses loop_iter = 1; the other six RiskSteward configurations use 3. The arithmetic wrapper configuration has no explicit loop bound.</w:t>
      </w:r>
    </w:p>
    <w:p>
      <w:pPr>
        <w:keepLines w:val="1"/>
        <w:numPr>
          <w:ilvl w:val="0"/>
          <w:numId w:val="1"/>
        </w:numPr>
        <w:ind w:left="720" w:hanging="360"/>
        <w:rPr>
          <w:u w:val="none"/>
        </w:rPr>
      </w:pPr>
      <w:r>
        <w:rPr>
          <w:rtl w:val="0"/>
        </w:rPr>
        <w:t xml:space="preserve">Bounded coverage: loop unrolling is an underapproximation. A passing result is not an automatically established proof for arbitrary batch length. The validate-all-then-execute architecture motivates a manual extension argument for magnitude, but that argument is not a separate inductive proof. Individual rules can impose tighter bounds.</w:t>
      </w:r>
    </w:p>
    <w:p>
      <w:pPr>
        <w:keepLines w:val="1"/>
        <w:numPr>
          <w:ilvl w:val="0"/>
          <w:numId w:val="1"/>
        </w:numPr>
        <w:ind w:left="720" w:hanging="360"/>
        <w:rPr>
          <w:u w:val="none"/>
        </w:rPr>
      </w:pPr>
      <w:r>
        <w:rPr>
          <w:rtl w:val="0"/>
        </w:rPr>
        <w:t xml:space="preserve">Scene: ProtocolEffects and Immutability include the real inherited Hub, Spoke, configurators and interest-rate strategy through Scene.sol. Explicit dispatch resolves their call chain; unmatched unresolved writes use HAVOC_ALL. Several rules pin a configurator, target or strategy to the scene. Their results therefore rely on those constraints.</w:t>
      </w:r>
    </w:p>
    <w:p>
      <w:pPr>
        <w:keepLines w:val="1"/>
        <w:numPr>
          <w:ilvl w:val="0"/>
          <w:numId w:val="1"/>
        </w:numPr>
        <w:ind w:left="720" w:hanging="360"/>
        <w:rPr>
          <w:u w:val="none"/>
        </w:rPr>
      </w:pPr>
      <w:r>
        <w:rPr>
          <w:rtl w:val="0"/>
        </w:rPr>
        <w:t xml:space="preserve">Authority: AuthorityUtils.canCallWithDelay is summarized as (true, 0) in the linked scene. This removes a downstream permission gate; it does not verify the deployed configurator ACL or its governance setup. The steward’s own owner/council gates are checked separately.</w:t>
      </w:r>
    </w:p>
    <w:p>
      <w:pPr>
        <w:keepLines w:val="1"/>
        <w:numPr>
          <w:ilvl w:val="0"/>
          <w:numId w:val="1"/>
        </w:numPr>
        <w:ind w:left="720" w:hanging="360"/>
        <w:rPr>
          <w:u w:val="none"/>
        </w:rPr>
      </w:pPr>
      <w:r>
        <w:rPr>
          <w:rtl w:val="0"/>
        </w:rPr>
        <w:t xml:space="preserve">Immutability models: _validateParamUpdate, selected accrual/fee computations and the IR read used for validation are abstracted. These checks target preservation of selected storage fields, not correctness of every dependency computation. reserveKeepsPriceSource and the IR/liquidation sentinel rules use one element; dynAddKeepsEarlierKeys allows at most two additions.</w:t>
      </w:r>
    </w:p>
    <w:p>
      <w:pPr>
        <w:keepLines w:val="1"/>
        <w:pageBreakBefore w:val="1"/>
        <w:numPr>
          <w:ilvl w:val="0"/>
          <w:numId w:val="1"/>
        </w:numPr>
        <w:ind w:left="720" w:hanging="360"/>
        <w:rPr>
          <w:u w:val="none"/>
        </w:rPr>
      </w:pPr>
      <w:r>
        <w:rPr>
          <w:rtl w:val="0"/>
        </w:rPr>
        <w:t xml:space="preserve">External-call effects: configIntegrity uses HAVOC_ECF for unresolved external calls. DebounceStamping uses NONDET summaries for configurator writes and unresolved calls. Those assumptions exclude arbitrary callee storage interference; they require the intended trusted-callee and role-separation model.</w:t>
      </w:r>
    </w:p>
    <w:p>
      <w:pPr>
        <w:keepLines w:val="1"/>
        <w:numPr>
          <w:ilvl w:val="0"/>
          <w:numId w:val="1"/>
        </w:numPr>
        <w:ind w:left="720" w:hanging="360"/>
        <w:rPr>
          <w:u w:val="none"/>
        </w:rPr>
      </w:pPr>
      <w:r>
        <w:rPr>
          <w:rtl w:val="0"/>
        </w:rPr>
        <w:t xml:space="preserve">Oracle models: persistent per-address ghosts model the LST growth rate, stable price cap and Pendle discount rate as setter/getter storage. Adapter ACL and additional validations are omitted. In OracleProperties, getRatio/isCapped are NONDET. In RevertConditions, ratio/capped are persistent ghosts, not a full post-write adapter model. The stable magnitude rule assumes a non-negative pre-state cap.</w:t>
      </w:r>
    </w:p>
    <w:p>
      <w:pPr>
        <w:keepLines w:val="1"/>
        <w:numPr>
          <w:ilvl w:val="0"/>
          <w:numId w:val="1"/>
        </w:numPr>
        <w:ind w:left="720" w:hanging="360"/>
        <w:rPr>
          <w:u w:val="none"/>
        </w:rPr>
      </w:pPr>
      <w:r>
        <w:rPr>
          <w:rtl w:val="0"/>
        </w:rPr>
        <w:t xml:space="preserve">Arithmetic: percentMulDownCVL models floor(value × percentage / 10,000) using mathint and a checked result cast. Solidity additionally rejects intermediate-product overflow. The two wrapper rules check non-reverting result equivalence and the precise Solidity overflow boundary; their actual baseline verdict is reported separately.</w:t>
      </w:r>
    </w:p>
    <w:p>
      <w:pPr>
        <w:keepLines w:val="1"/>
        <w:numPr>
          <w:ilvl w:val="0"/>
          <w:numId w:val="1"/>
        </w:numPr>
        <w:ind w:left="720" w:hanging="360"/>
        <w:rPr>
          <w:u w:val="none"/>
        </w:rPr>
      </w:pPr>
      <w:r>
        <w:rPr>
          <w:rtl w:val="0"/>
        </w:rPr>
        <w:t xml:space="preserve">Claim boundaries: KEEP_CURRENT is field- and width-specific. Zero rejection is limited to the listed dynamic, liquidation and oracle fields; it is not a blanket prohibition on all zero parameters. LST magnitude covers the growth input. Economic safety, oracle authenticity, deployed permissions and arbitrary malicious dependencies are not established by this suite.</w:t>
      </w:r>
    </w:p>
    <w:p>
      <w:pPr>
        <w:pStyle w:val="Heading2"/>
        <w:keepNext w:val="1"/>
        <w:keepLines w:val="0"/>
        <w:pageBreakBefore w:val="1"/>
        <w:pBdr>
          <w:bottom w:color="eeeeee" w:space="5" w:sz="5" w:val="single"/>
        </w:pBdr>
        <w:shd w:fill="ffffff" w:val="clear"/>
        <w:spacing w:after="240" w:line="240" w:lineRule="auto"/>
        <w:ind w:left="-300" w:firstLine="0"/>
        <w:rPr>
          <w:rFonts w:ascii="DM Sans" w:hAnsi="DM Sans" w:cs="DM Sans" w:eastAsia="DM Sans"/>
        </w:rPr>
      </w:pPr>
      <w:bookmarkStart w:id="2026" w:name="properties_overview"/>
      <w:r>
        <w:rPr>
          <w:rFonts w:ascii="DM Sans" w:cs="DM Sans" w:eastAsia="DM Sans" w:hAnsi="DM Sans"/>
          <w:color w:val="333333"/>
          <w:sz w:val="34"/>
          <w:szCs w:val="34"/>
          <w:rtl w:val="0"/>
        </w:rPr>
        <w:t xml:space="preserve">Formal Verification Properties Overview</w:t>
      </w:r>
      <w:bookmarkEnd w:id="2026"/>
    </w:p>
    <w:p>
      <w:pPr>
        <w:spacing w:after="200" w:lineRule="auto"/>
        <w:jc w:val="both"/>
        <w:rPr>
          <w:b w:val="1"/>
          <w:bCs w:val="1"/>
          <w:color w:val="000000"/>
        </w:rPr>
      </w:pPr>
      <w:r>
        <w:rPr>
          <w:color w:val="000000"/>
          <w:rtl w:val="0"/>
        </w:rPr>
        <w:t xml:space="preserve">The overview and detailed tables cover every rule in the current canonical suite exactly once. Rule reports refer to fresh baseline submissions; the mutation campaign is separate evidence.</w:t>
      </w:r>
    </w:p>
    <w:tbl>
      <w:tblPr>
        <w:tblStyle w:val="Table10"/>
        <w:tblW w:w="107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940"/>
        <w:gridCol w:w="5445"/>
        <w:gridCol w:w="1410"/>
      </w:tblGrid>
      <w:tr>
        <w:trPr>
          <w:cantSplit w:val="1"/>
          <w:trHeight w:val="635" w:hRule="atLeast"/>
          <w:tblHeader w:val="1"/>
        </w:trPr>
        <w:tc>
          <w:tcPr>
            <w:tcW w:w="960" w:type="dxa"/>
            <w:tcBorders>
              <w:top w:color="d9d9d9" w:space="0" w:sz="24" w:val="single"/>
              <w:left w:color="d9d9d9" w:space="0" w:sz="8" w:val="single"/>
              <w:bottom w:color="d9d9d9" w:space="0" w:sz="8" w:val="single"/>
              <w:right w:color="d9d9d9" w:space="0" w:sz="24" w:val="single"/>
            </w:tcBorders>
            <w:tcMar>
              <w:top w:w="173" w:type="dxa"/>
              <w:left w:w="173" w:type="dxa"/>
              <w:bottom w:w="173" w:type="dxa"/>
              <w:right w:w="173" w:type="dxa"/>
            </w:tcMar>
            <w:vAlign w:val="top"/>
          </w:tcPr>
          <w:p>
            <w:pPr>
              <w:widowControl w:val="0"/>
              <w:spacing w:line="240" w:lineRule="auto"/>
              <w:rPr>
                <w:b w:val="1"/>
                <w:bCs w:val="1"/>
                <w:sz w:val="20"/>
                <w:szCs w:val="20"/>
              </w:rPr>
            </w:pPr>
            <w:r>
              <w:rPr>
                <w:b w:val="1"/>
                <w:bCs w:val="1"/>
                <w:sz w:val="20"/>
                <w:szCs w:val="20"/>
                <w:rtl w:val="0"/>
              </w:rPr>
              <w:t xml:space="preserve">ID</w:t>
            </w:r>
          </w:p>
        </w:tc>
        <w:tc>
          <w:tcPr>
            <w:tcW w:w="2940" w:type="dxa"/>
            <w:tcBorders>
              <w:top w:color="d9d9d9" w:space="0" w:sz="24" w:val="single"/>
              <w:left w:color="d9d9d9" w:space="0" w:sz="24" w:val="single"/>
              <w:bottom w:color="d9d9d9" w:space="0" w:sz="8" w:val="single"/>
              <w:right w:color="d9d9d9" w:space="0" w:sz="8" w:val="single"/>
            </w:tcBorders>
            <w:tcMar>
              <w:top w:w="173" w:type="dxa"/>
              <w:left w:w="173" w:type="dxa"/>
              <w:bottom w:w="173" w:type="dxa"/>
              <w:right w:w="173" w:type="dxa"/>
            </w:tcMar>
          </w:tcPr>
          <w:p>
            <w:pPr>
              <w:widowControl w:val="0"/>
              <w:spacing w:line="240" w:lineRule="auto"/>
              <w:rPr>
                <w:b w:val="1"/>
                <w:bCs w:val="1"/>
                <w:color w:val="999999"/>
              </w:rPr>
            </w:pPr>
            <w:r>
              <w:rPr>
                <w:b w:val="1"/>
                <w:bCs w:val="1"/>
                <w:sz w:val="20"/>
                <w:szCs w:val="20"/>
                <w:rtl w:val="0"/>
              </w:rPr>
              <w:t xml:space="preserve">Title</w:t>
            </w:r>
            <w:r>
              <w:rPr>
                <w:rtl w:val="0"/>
              </w:rPr>
            </w:r>
          </w:p>
        </w:tc>
        <w:tc>
          <w:tcPr>
            <w:tcW w:w="5445"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vAlign w:val="top"/>
          </w:tcPr>
          <w:p>
            <w:pPr>
              <w:widowControl w:val="0"/>
              <w:spacing w:line="240" w:lineRule="auto"/>
              <w:rPr>
                <w:b w:val="1"/>
                <w:bCs w:val="1"/>
                <w:color w:val="999999"/>
              </w:rPr>
            </w:pPr>
            <w:r>
              <w:rPr>
                <w:b w:val="1"/>
                <w:bCs w:val="1"/>
                <w:sz w:val="20"/>
                <w:szCs w:val="20"/>
                <w:rtl w:val="0"/>
              </w:rPr>
              <w:t xml:space="preserve">Impact</w:t>
            </w:r>
            <w:r>
              <w:rPr>
                <w:rtl w:val="0"/>
              </w:rPr>
            </w:r>
          </w:p>
        </w:tc>
        <w:tc>
          <w:tcPr>
            <w:tcW w:w="1410" w:type="dxa"/>
            <w:tcBorders>
              <w:top w:color="d9d9d9" w:space="0" w:sz="24" w:val="single"/>
              <w:left w:color="d9d9d9" w:space="0" w:sz="8" w:val="single"/>
              <w:bottom w:color="d9d9d9" w:space="0" w:sz="8" w:val="single"/>
              <w:right w:color="d9d9d9" w:space="0" w:sz="8" w:val="single"/>
            </w:tcBorders>
            <w:tcMar>
              <w:top w:w="173" w:type="dxa"/>
              <w:left w:w="173" w:type="dxa"/>
              <w:bottom w:w="173" w:type="dxa"/>
              <w:right w:w="173" w:type="dxa"/>
            </w:tcMar>
            <w:vAlign w:val="top"/>
          </w:tcPr>
          <w:p>
            <w:pPr>
              <w:widowControl w:val="0"/>
              <w:spacing w:line="240" w:lineRule="auto"/>
              <w:rPr>
                <w:b w:val="1"/>
                <w:bCs w:val="1"/>
                <w:sz w:val="20"/>
                <w:szCs w:val="20"/>
              </w:rPr>
            </w:pPr>
            <w:r>
              <w:rPr>
                <w:b w:val="1"/>
                <w:bCs w:val="1"/>
                <w:sz w:val="20"/>
                <w:szCs w:val="20"/>
                <w:rtl w:val="0"/>
              </w:rPr>
              <w:t xml:space="preserve">Status</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1">
              <w:r>
                <w:rPr>
                  <w:color w:val="1155cc"/>
                  <w:u w:val="single"/>
                  <w:rtl w:val="0"/>
                </w:rPr>
                <w:t xml:space="preserve">P-01</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Council authorization</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Blocks unauthorized parameter updates and keeps the owner and council roles distinct. R-1.</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2">
              <w:r>
                <w:rPr>
                  <w:color w:val="1155cc"/>
                  <w:u w:val="single"/>
                  <w:rtl w:val="0"/>
                </w:rPr>
                <w:t xml:space="preserve">P-02</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Owner authorization</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Protects governance configuration and ensures a restriction setter changes only its selected address. R-1.</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3">
              <w:r>
                <w:rPr>
                  <w:color w:val="1155cc"/>
                  <w:u w:val="single"/>
                  <w:rtl w:val="0"/>
                </w:rPr>
                <w:t xml:space="preserve">P-03</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Restricted addresses</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Rejects restricted targets across all nine update entrypoints. R-1.</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4">
              <w:r>
                <w:rPr>
                  <w:color w:val="1155cc"/>
                  <w:u w:val="single"/>
                  <w:rtl w:val="0"/>
                </w:rPr>
                <w:t xml:space="preserve">P-04</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Configuration integrity</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Preserves configuration storage, restriction storage and the seventeen required relative/absolute modes. R-1, R-2.</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5">
              <w:r>
                <w:rPr>
                  <w:color w:val="1155cc"/>
                  <w:u w:val="single"/>
                  <w:rtl w:val="0"/>
                </w:rPr>
                <w:t xml:space="preserve">P-05</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Input scope confinement</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Requires KEEP_CURRENT on fields outside the council mandate.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6">
              <w:r>
                <w:rPr>
                  <w:color w:val="1155cc"/>
                  <w:u w:val="single"/>
                  <w:rtl w:val="0"/>
                </w:rPr>
                <w:t xml:space="preserve">P-06</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Configurator pinning</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Requires supplied configurators to match governance configuration. Code identity and permissions remain trusted.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7">
              <w:r>
                <w:rPr>
                  <w:color w:val="1155cc"/>
                  <w:u w:val="single"/>
                  <w:rtl w:val="0"/>
                </w:rPr>
                <w:t xml:space="preserve">P-07</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Required non-zero inputs</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Rejects zero dynamic, liquidation and oracle inputs where the implementation explicitly forbids them. R-2.</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8">
              <w:r>
                <w:rPr>
                  <w:color w:val="1155cc"/>
                  <w:u w:val="single"/>
                  <w:rtl w:val="0"/>
                </w:rPr>
                <w:t xml:space="preserve">P-08</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Oracle input gates</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Checks LST ratio/capped guards and rejects stable/Pendle KEEP_CURRENT values through checked casts. R-4.</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09">
              <w:r>
                <w:rPr>
                  <w:color w:val="1155cc"/>
                  <w:u w:val="single"/>
                  <w:rtl w:val="0"/>
                </w:rPr>
                <w:t xml:space="preserve">P-09</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Protocol debounce stamping</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Records time for written fields while preserving sentinel and unrelated timestamps. R-2,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0">
              <w:r>
                <w:rPr>
                  <w:color w:val="1155cc"/>
                  <w:u w:val="single"/>
                  <w:rtl w:val="0"/>
                </w:rPr>
                <w:t xml:space="preserve">P-10</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Minimum-delay enforcement</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Requires the relevant configured delay before each governed write. A configured zero delay is permitted. R-2.</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1">
              <w:r>
                <w:rPr>
                  <w:color w:val="1155cc"/>
                  <w:u w:val="single"/>
                  <w:rtl w:val="0"/>
                </w:rPr>
                <w:t xml:space="preserve">P-11</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Debounce storage integrity</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Prevents non-update methods from modifying any of the six debounce mappings. R-2.</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2">
              <w:r>
                <w:rPr>
                  <w:color w:val="1155cc"/>
                  <w:u w:val="single"/>
                  <w:rtl w:val="0"/>
                </w:rPr>
                <w:t xml:space="preserve">P-12</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Oracle debounce stamping</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Updates the first submitted oracle timestamp and preserves any oracle omitted from the batch. R-2.</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3">
              <w:r>
                <w:rPr>
                  <w:color w:val="1155cc"/>
                  <w:u w:val="single"/>
                  <w:rtl w:val="0"/>
                </w:rPr>
                <w:t xml:space="preserve">P-13</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Oracle magnitude bounds</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Bounds the modeled growth rate, stable cap and Pendle discount rate. The effective LST price cap is outside this magnitude guarantee. R-4.</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4">
              <w:r>
                <w:rPr>
                  <w:color w:val="1155cc"/>
                  <w:u w:val="single"/>
                  <w:rtl w:val="0"/>
                </w:rPr>
                <w:t xml:space="preserve">P-14</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Protocol magnitude bounds</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Bounds changes in actual linked Hub, Spoke and strategy storage under the single-element proof configuration. R-2.</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5">
              <w:r>
                <w:rPr>
                  <w:color w:val="1155cc"/>
                  <w:u w:val="single"/>
                  <w:rtl w:val="0"/>
                </w:rPr>
                <w:t xml:space="preserve">P-15</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Protocol write fidelity</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Checks that a successful write installs the submitted value in the linked protocol component.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6">
              <w:r>
                <w:rPr>
                  <w:color w:val="1155cc"/>
                  <w:u w:val="single"/>
                  <w:rtl w:val="0"/>
                </w:rPr>
                <w:t xml:space="preserve">P-16</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Dynamic addition integrity</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Requires an existing reference configuration and preserves its liquidation fee in the added configuration.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7">
              <w:r>
                <w:rPr>
                  <w:color w:val="1155cc"/>
                  <w:u w:val="single"/>
                  <w:rtl w:val="0"/>
                </w:rPr>
                <w:t xml:space="preserve">P-17</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Out-of-scope field preservation</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Preserves Hub fees/strategy, Spoke flags and liquidation fees; detects attempted reserve-price-source writes.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8">
              <w:r>
                <w:rPr>
                  <w:color w:val="1155cc"/>
                  <w:u w:val="single"/>
                  <w:rtl w:val="0"/>
                </w:rPr>
                <w:t xml:space="preserve">P-18</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Sentinel and sibling preservation</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Preserves paired cap/dynamic fields and sentinel interest-rate/liquidation fields.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19">
              <w:r>
                <w:rPr>
                  <w:color w:val="1155cc"/>
                  <w:u w:val="single"/>
                  <w:rtl w:val="0"/>
                </w:rPr>
                <w:t xml:space="preserve">P-19</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Existing dynamic-key preservation</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Ensures additions preserve earlier dynamic configurations, for batches of at most two additions. R-3.</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r>
        <w:trPr>
          <w:cantSplit w:val="1"/>
          <w:trHeight w:val="925" w:hRule="atLeast"/>
          <w:tblHeader w:val="0"/>
        </w:trPr>
        <w:tc>
          <w:tcPr>
            <w:tcW w:w="960" w:type="dxa"/>
            <w:tcBorders>
              <w:top w:color="d9d9d9" w:space="0" w:sz="8" w:val="single"/>
              <w:left w:color="cccccc" w:space="0" w:sz="8"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hyperlink w:anchor="property_20">
              <w:r>
                <w:rPr>
                  <w:color w:val="1155cc"/>
                  <w:u w:val="single"/>
                  <w:rtl w:val="0"/>
                </w:rPr>
                <w:t xml:space="preserve">P-20</w:t>
              </w:r>
            </w:hyperlink>
          </w:p>
        </w:tc>
        <w:tc>
          <w:tcPr>
            <w:tcW w:w="2940"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Percentage arithmetic equivalence</w:t>
            </w:r>
          </w:p>
        </w:tc>
        <w:tc>
          <w:tcPr>
            <w:tcW w:w="5445" w:type="dxa"/>
            <w:tcBorders>
              <w:top w:color="d9d9d9" w:space="0" w:sz="8" w:val="single"/>
              <w:left w:color="03ff00" w:space="0" w:sz="24" w:val="single"/>
              <w:bottom w:color="d9d9d9" w:space="0" w:sz="8" w:val="single"/>
              <w:right w:color="03ff00" w:space="0" w:sz="24" w:val="single"/>
            </w:tcBorders>
            <w:shd w:fill="a9f2c4" w:val="clear"/>
            <w:tcMar>
              <w:top w:w="173" w:type="dxa"/>
              <w:left w:w="173" w:type="dxa"/>
              <w:bottom w:w="173" w:type="dxa"/>
              <w:right w:w="173" w:type="dxa"/>
            </w:tcMar>
            <w:vAlign w:val="top"/>
          </w:tcPr>
          <w:p>
            <w:pPr>
              <w:widowControl w:val="0"/>
              <w:spacing w:line="240" w:lineRule="auto"/>
              <w:rPr/>
            </w:pPr>
            <w:r>
              <w:rPr>
                <w:rtl w:val="0"/>
              </w:rPr>
              <w:t xml:space="preserve">Checks the arithmetic summary against shipped Solidity assembly, including overflow and rounding. R-2.</w:t>
            </w:r>
          </w:p>
        </w:tc>
        <w:tc>
          <w:tcPr>
            <w:tcW w:w="1410" w:type="dxa"/>
            <w:tcBorders>
              <w:top w:color="d9d9d9" w:space="0" w:sz="8" w:val="single"/>
              <w:left w:color="03ff00" w:space="0" w:sz="24" w:val="single"/>
              <w:bottom w:color="d9d9d9" w:space="0" w:sz="8" w:val="single"/>
              <w:right w:color="000000" w:space="0" w:sz="0" w:val="nil"/>
            </w:tcBorders>
            <w:shd w:fill="a9f2c4" w:val="clear"/>
            <w:tcMar>
              <w:top w:w="173" w:type="dxa"/>
              <w:left w:w="173" w:type="dxa"/>
              <w:bottom w:w="173" w:type="dxa"/>
              <w:right w:w="173" w:type="dxa"/>
            </w:tcMar>
            <w:vAlign w:val="top"/>
          </w:tcPr>
          <w:p>
            <w:pPr>
              <w:widowControl w:val="0"/>
              <w:spacing w:line="240" w:lineRule="auto"/>
              <w:rPr/>
            </w:pPr>
            <w:r>
              <w:rPr>
                <w:rtl w:val="0"/>
              </w:rPr>
              <w:t xml:space="preserve">Verified</w:t>
            </w:r>
          </w:p>
        </w:tc>
      </w:tr>
    </w:tbl>
    <w:p>
      <w:pPr>
        <w:pStyle w:val="Heading2"/>
        <w:keepNext w:val="1"/>
        <w:keepLines w:val="0"/>
        <w:pageBreakBefore w:val="1"/>
        <w:pBdr>
          <w:bottom w:color="eeeeee" w:space="5" w:sz="5" w:val="single"/>
        </w:pBdr>
        <w:shd w:fill="ffffff" w:val="clear"/>
        <w:spacing w:after="240" w:line="240" w:lineRule="auto"/>
        <w:ind w:left="-300" w:firstLine="0"/>
        <w:rPr>
          <w:rFonts w:ascii="DM Sans" w:hAnsi="DM Sans" w:cs="DM Sans" w:eastAsia="DM Sans"/>
        </w:rPr>
      </w:pPr>
      <w:bookmarkStart w:id="2027" w:name="detailed_properties"/>
      <w:r>
        <w:rPr>
          <w:rFonts w:ascii="DM Sans" w:cs="DM Sans" w:eastAsia="DM Sans" w:hAnsi="DM Sans"/>
          <w:color w:val="333333"/>
          <w:sz w:val="34"/>
          <w:szCs w:val="34"/>
          <w:rtl w:val="0"/>
        </w:rPr>
        <w:t xml:space="preserve">Detailed Properties</w:t>
      </w:r>
      <w:bookmarkEnd w:id="2027"/>
    </w:p>
    <w:p>
      <w:pPr>
        <w:pStyle w:val="Heading2"/>
        <w:keepNext w:val="1"/>
        <w:keepLines w:val="0"/>
        <w:pBdr>
          <w:bottom w:color="eeeeee" w:space="5" w:sz="5" w:val="single"/>
        </w:pBdr>
        <w:shd w:fill="ffffff" w:val="clear"/>
        <w:spacing w:after="240" w:line="240" w:lineRule="auto"/>
        <w:ind w:left="-300" w:firstLine="0"/>
        <w:rPr>
          <w:rFonts w:ascii="DM Sans" w:cs="DM Sans" w:eastAsia="DM Sans" w:hAnsi="DM Sans"/>
          <w:b w:val="0"/>
          <w:bCs w:val="0"/>
          <w:sz w:val="30"/>
          <w:szCs w:val="30"/>
        </w:rPr>
      </w:pPr>
      <w:bookmarkStart w:id="2028" w:name="module"/>
      <w:r>
        <w:rPr>
          <w:rFonts w:ascii="DM Sans" w:cs="DM Sans" w:eastAsia="DM Sans" w:hAnsi="DM Sans"/>
          <w:color w:val="333333"/>
          <w:sz w:val="28"/>
          <w:szCs w:val="28"/>
          <w:rtl w:val="0"/>
        </w:rPr>
        <w:t xml:space="preserve">RiskSteward</w:t>
      </w:r>
      <w:bookmarkEnd w:id="2028"/>
    </w:p>
    <w:p>
      <w:pPr>
        <w:rPr>
          <w:rFonts w:ascii="DM Sans" w:cs="DM Sans" w:eastAsia="DM Sans" w:hAnsi="DM Sans"/>
          <w:color w:val="000000"/>
          <w:u w:val="single"/>
        </w:rPr>
      </w:pPr>
      <w:r>
        <w:rPr>
          <w:rFonts w:ascii="DM Sans" w:cs="DM Sans" w:eastAsia="DM Sans" w:hAnsi="DM Sans"/>
          <w:color w:val="000000"/>
          <w:u w:val="single"/>
          <w:rtl w:val="0"/>
        </w:rPr>
        <w:t xml:space="preserve">Module Assumptions</w:t>
      </w:r>
    </w:p>
    <w:p>
      <w:pPr>
        <w:spacing w:after="200" w:lineRule="auto"/>
        <w:jc w:val="both"/>
        <w:rPr>
          <w:b w:val="1"/>
          <w:bCs w:val="1"/>
          <w:color w:val="000000"/>
        </w:rPr>
      </w:pPr>
      <w:r>
        <w:rPr>
          <w:color w:val="000000"/>
          <w:rtl w:val="0"/>
        </w:rPr>
        <w:t xml:space="preserve">All general assumptions above apply where their summaries or configurations are used. The upstream protocol revision is 4347d1333aae43b3f9484b44e66b8ee4c2e506a7. The Prover runs use the retained verification checkout at c9ad1031838d70aadd045e580de10eba0ae40935 with local edits. RiskSteward.sol differs from the upstream revision only in comments, formatting and function order; its function bodies and other code tokens match.</w:t>
      </w:r>
    </w:p>
    <w:p>
      <w:pPr>
        <w:spacing w:after="200" w:lineRule="auto"/>
        <w:jc w:val="left"/>
        <w:rPr>
          <w:b w:val="1"/>
          <w:bCs w:val="1"/>
          <w:color w:val="000000"/>
        </w:rPr>
      </w:pPr>
      <w:r>
        <w:rPr>
          <w:color w:val="000000"/>
          <w:rtl w:val="0"/>
        </w:rPr>
        <w:t xml:space="preserve">Snapshot SHA-256 for src/RiskSteward.sol:</w:t>
        <w:br/>
        <w:t xml:space="preserve">dd81e22bf292d3844e1ffeec50288d8d4483fc702172a5c29ef8b998823ea6ab</w:t>
      </w:r>
    </w:p>
    <w:p>
      <w:pPr>
        <w:spacing w:after="200" w:lineRule="auto"/>
        <w:jc w:val="both"/>
        <w:rPr>
          <w:b w:val="1"/>
          <w:bCs w:val="1"/>
          <w:color w:val="000000"/>
        </w:rPr>
      </w:pPr>
      <w:r>
        <w:rPr>
          <w:color w:val="000000"/>
          <w:rtl w:val="0"/>
        </w:rPr>
        <w:t xml:space="preserve">Reproduction records and hashes are stored in certora/report-runs/2026-09-03. The arithmetic properties use PercentageMathWrapper as their verification target.</w:t>
      </w:r>
    </w:p>
    <w:p>
      <w:pPr>
        <w:rPr>
          <w:rFonts w:ascii="DM Sans" w:cs="DM Sans" w:eastAsia="DM Sans" w:hAnsi="DM Sans"/>
          <w:color w:val="000000"/>
          <w:u w:val="single"/>
        </w:rPr>
      </w:pPr>
      <w:r>
        <w:rPr>
          <w:rFonts w:ascii="DM Sans" w:cs="DM Sans" w:eastAsia="DM Sans" w:hAnsi="DM Sans"/>
          <w:color w:val="000000"/>
          <w:u w:val="single"/>
          <w:rtl w:val="0"/>
        </w:rPr>
        <w:t xml:space="preserve">Module Properties</w:t>
      </w: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29" w:name="property_01"/>
            <w:r>
              <w:rPr>
                <w:rFonts w:ascii="DM Sans" w:hAnsi="DM Sans" w:cs="DM Sans" w:eastAsia="DM Sans"/>
                <w:sz w:val="24"/>
                <w:szCs w:val="24"/>
                <w:rtl w:val="0"/>
              </w:rPr>
              <w:t xml:space="preserve">P-01. Council authorization.</w:t>
            </w:r>
            <w:bookmarkEnd w:id="2029"/>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Blocks unauthorized parameter updates and keeps the owner and council roles distinct. R-1.</w:t>
            </w:r>
          </w:p>
        </w:tc>
      </w:tr>
    </w:tbl>
    <w:p>
      <w:pPr>
        <w:keepNext w:val="1"/>
        <w:spacing w:after="200" w:lineRule="auto"/>
        <w:jc w:val="both"/>
        <w:rPr>
          <w:b w:val="1"/>
          <w:bCs w:val="1"/>
          <w:color w:val="000000"/>
        </w:rPr>
      </w:pPr>
      <w:r>
        <w:rPr>
          <w:color w:val="000000"/>
          <w:rtl w:val="0"/>
        </w:rPr>
        <w:t xml:space="preserve">Source: certora/specs/AccessControl.spec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councilOnly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every mutating entrypoint that is not owner-gated and not an Ownable2Step handover: a call from a sender other than RISK_COUNCIL always reverts. Covers third parties and address(0), since RISK_COUNCIL is immutable and non-zero.</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ownerCannotCallCouncilEntrypoints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the council entrypoints: a call from the owner can only succeed if the owner is also RISK_COUNCIL, so holding ownership does not grant the council's parameter mandate.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3">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0" w:name="property_02"/>
            <w:r>
              <w:rPr>
                <w:rFonts w:ascii="DM Sans" w:hAnsi="DM Sans" w:cs="DM Sans" w:eastAsia="DM Sans"/>
                <w:sz w:val="24"/>
                <w:szCs w:val="24"/>
                <w:rtl w:val="0"/>
              </w:rPr>
              <w:t xml:space="preserve">P-02. Owner authorization.</w:t>
            </w:r>
            <w:bookmarkEnd w:id="2030"/>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Protects governance configuration and ensures a restriction setter changes only its selected address. R-1.</w:t>
            </w:r>
          </w:p>
        </w:tc>
      </w:tr>
    </w:tbl>
    <w:p>
      <w:pPr>
        <w:keepNext w:val="1"/>
        <w:spacing w:after="200" w:lineRule="auto"/>
        <w:jc w:val="both"/>
        <w:rPr>
          <w:b w:val="1"/>
          <w:bCs w:val="1"/>
          <w:color w:val="000000"/>
        </w:rPr>
      </w:pPr>
      <w:r>
        <w:rPr>
          <w:color w:val="000000"/>
          <w:rtl w:val="0"/>
        </w:rPr>
        <w:t xml:space="preserve">Source: certora/specs/AccessControl.spec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ownerOnly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the two owner-gated entrypoints, setConfig and setAddressRestricted: a call from a sender other than the owner always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4">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setAddressRestrictedTouchesOnlyItsKey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After setAddressRestricted(a, v) the restriction flag of a equals v and the flag of every other address is byte-identical to its pre-call value.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5">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1" w:name="property_03"/>
            <w:r>
              <w:rPr>
                <w:rFonts w:ascii="DM Sans" w:hAnsi="DM Sans" w:cs="DM Sans" w:eastAsia="DM Sans"/>
                <w:sz w:val="24"/>
                <w:szCs w:val="24"/>
                <w:rtl w:val="0"/>
              </w:rPr>
              <w:t xml:space="preserve">P-03. Restricted addresses.</w:t>
            </w:r>
            <w:bookmarkEnd w:id="2031"/>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Rejects restricted targets across all nine update entrypoints. R-1.</w:t>
            </w:r>
          </w:p>
        </w:tc>
      </w:tr>
    </w:tbl>
    <w:p>
      <w:pPr>
        <w:keepNext w:val="1"/>
        <w:spacing w:after="200" w:lineRule="auto"/>
        <w:jc w:val="both"/>
        <w:rPr>
          <w:b w:val="1"/>
          <w:bCs w:val="1"/>
          <w:color w:val="000000"/>
        </w:rPr>
      </w:pPr>
      <w:r>
        <w:rPr>
          <w:color w:val="000000"/>
          <w:rtl w:val="0"/>
        </w:rPr>
        <w:t xml:space="preserve">Source: certora/specs/AccessControl.spec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restrictedHubAssetIRsReverts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hub or underlying, updateHubAssetIRs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restrictedHubSpokeCapsReverts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hub, spoke or underlying, updateHubSpokeCaps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restrictedReserveConfigsReverts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spoke, hub or underlying, updateReserveConfigs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8">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restrictedDynamicReserveConfigsReverts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spoke, hub or underlying, updateDynamicReserveConfigs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restrictedAddDynamicReserveConfigsReverts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additions batch names a restricted spoke, hub or underlying, addDynamicReserveConfigs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restrictedSpokeLiquidationConfigsReverts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Liquidation config is spoke-global, so the spoke is the only address named: if any element names a restricted spoke, updateSpokeLiquidationConfigs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restrictedLstPriceCapsReverts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LST oracle adapter, updateLstPriceCaps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restrictedStablePriceCapsReverts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stable oracle adapter, updateStablePriceCaps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restrictedPendleDiscountRatesReverts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Pendle oracle adapter, updatePendleDiscountRates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4">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2" w:name="property_04"/>
            <w:r>
              <w:rPr>
                <w:rFonts w:ascii="DM Sans" w:hAnsi="DM Sans" w:cs="DM Sans" w:eastAsia="DM Sans"/>
                <w:sz w:val="24"/>
                <w:szCs w:val="24"/>
                <w:rtl w:val="0"/>
              </w:rPr>
              <w:t xml:space="preserve">P-04. Configuration integrity.</w:t>
            </w:r>
            <w:bookmarkEnd w:id="2032"/>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Preserves configuration storage, restriction storage and the seventeen required relative/absolute modes. R-1, R-2.</w:t>
            </w:r>
          </w:p>
        </w:tc>
      </w:tr>
    </w:tbl>
    <w:p>
      <w:pPr>
        <w:keepNext w:val="1"/>
        <w:spacing w:after="200" w:lineRule="auto"/>
        <w:jc w:val="both"/>
        <w:rPr>
          <w:b w:val="1"/>
          <w:bCs w:val="1"/>
          <w:color w:val="000000"/>
        </w:rPr>
      </w:pPr>
      <w:r>
        <w:rPr>
          <w:color w:val="000000"/>
          <w:rtl w:val="0"/>
        </w:rPr>
        <w:t xml:space="preserve">Source: certora/specs/configIntegrity.spec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setConfigWritesArg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non-reverting setConfig (owner check and all seventeen polarity requires passed) leaves _config field-by-field equal to the validated argument, across the hub, spoke and oracle sub-configs and all their RiskParamConfig leaves.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configIntactExceptSetConfig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every method except setConfig: _config is field-by-field identical before and after the call.</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restrictionMapIntactExceptSetter</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every method except setAddressRestricted: the restriction flag of an arbitrary address is unchanged across the call.</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setConfigEnforcesPolarity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setConfig reverts on any config whose per-field isChangeRelative flags do not match the polarity the steward requires: absolute for the four interest-rate params, collateral risk, the dynamic collateral-factor / max-bonus params, the liquidation bonus factor and the Pendle discount rate; relative for the two caps, the two liquidation health factors and the two price caps.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8">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3" w:name="property_05"/>
            <w:r>
              <w:rPr>
                <w:rFonts w:ascii="DM Sans" w:hAnsi="DM Sans" w:cs="DM Sans" w:eastAsia="DM Sans"/>
                <w:sz w:val="24"/>
                <w:szCs w:val="24"/>
                <w:rtl w:val="0"/>
              </w:rPr>
              <w:t xml:space="preserve">P-05. Input scope confinement.</w:t>
            </w:r>
            <w:bookmarkEnd w:id="2033"/>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Requires KEEP_CURRENT on fields outside the council mandate. R-3.</w:t>
            </w:r>
          </w:p>
        </w:tc>
      </w:tr>
    </w:tbl>
    <w:p>
      <w:pPr>
        <w:keepNext w:val="1"/>
        <w:spacing w:after="200" w:lineRule="auto"/>
        <w:jc w:val="both"/>
        <w:rPr>
          <w:b w:val="1"/>
          <w:bCs w:val="1"/>
          <w:color w:val="000000"/>
        </w:rPr>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hubIrSuccessImpliesInScope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liquidityFee, feeReceiver, irStrategy and reinvestmentController at their KEEP_CURRENT sentinels: the IR entrypoint cannot be used to move a fee or repoint a strategy.</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hubCapsSuccessImpliesInScope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riskPremiumThreshold, active and halted at KEEP_CURRENT: the caps entrypoint cannot pause or halt a spoke.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reserveSuccessImpliesInScope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priceSource, paused, frozen, borrowable and receiveSharesEnabled at their sentinels.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dynUpdateSuccessImpliesFeeKept</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liquidationFee at KEEP_CURRENT: the dynamic-config entrypoint cannot move the liquidation fee.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2">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4" w:name="property_06"/>
            <w:r>
              <w:rPr>
                <w:rFonts w:ascii="DM Sans" w:hAnsi="DM Sans" w:cs="DM Sans" w:eastAsia="DM Sans"/>
                <w:sz w:val="24"/>
                <w:szCs w:val="24"/>
                <w:rtl w:val="0"/>
              </w:rPr>
              <w:t xml:space="preserve">P-06. Configurator pinning.</w:t>
            </w:r>
            <w:bookmarkEnd w:id="2034"/>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Requires supplied configurators to match governance configuration. Code identity and permissions remain trusted. R-3.</w:t>
            </w:r>
          </w:p>
        </w:tc>
      </w:tr>
    </w:tbl>
    <w:p>
      <w:pPr>
        <w:keepNext w:val="1"/>
        <w:spacing w:after="200" w:lineRule="auto"/>
        <w:jc w:val="both"/>
        <w:rPr>
          <w:b w:val="1"/>
          <w:bCs w:val="1"/>
          <w:color w:val="000000"/>
        </w:rPr>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hubIrSuccessImpliesAllMatched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hubConfigurator equals the address pinned in _config.hub.configurator.</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hubCapsSuccessImpliesAllMatched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hubConfigurator equals the address pinned in _config.hub.configurator.</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4">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dynUpdateSuccessImpliesAllMatched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spokeConfigurator equals the address pinned in _config.spoke.configurator.</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reserveSuccessImpliesAllMatched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spokeConfigurator equals the address pinned in _config.spoke.configurator.</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dynAddSuccessImpliesAllMatched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addition's spokeConfigurator equals the address pinned in _config.spoke.configurator.</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liqSuccessImpliesAllMatched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spokeConfigurator equals the address pinned in _config.spoke.configurator.</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8">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5" w:name="property_07"/>
            <w:r>
              <w:rPr>
                <w:rFonts w:ascii="DM Sans" w:hAnsi="DM Sans" w:cs="DM Sans" w:eastAsia="DM Sans"/>
                <w:sz w:val="24"/>
                <w:szCs w:val="24"/>
                <w:rtl w:val="0"/>
              </w:rPr>
              <w:t xml:space="preserve">P-07. Required non-zero inputs.</w:t>
            </w:r>
            <w:bookmarkEnd w:id="2035"/>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Rejects zero dynamic, liquidation and oracle inputs where the implementation explicitly forbids them. R-2.</w:t>
            </w:r>
          </w:p>
        </w:tc>
      </w:tr>
    </w:tbl>
    <w:p>
      <w:pPr>
        <w:keepNext w:val="1"/>
        <w:spacing w:after="200" w:lineRule="auto"/>
        <w:jc w:val="both"/>
        <w:rPr>
          <w:b w:val="1"/>
          <w:bCs w:val="1"/>
          <w:color w:val="000000"/>
        </w:rPr>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dynUpdateZeroReverts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sets collateralFactor or maxLiquidationBonus to zero while not using the KEEP_CURRENT sentinel, the call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dynAddZeroReverts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always writes both fields, so there is no sentinel to opt out with: a zero collateralFactor or maxLiquidationBonus in any addition reverts unconditionally.</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liqZeroReverts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sets targetHealthFactor, healthFactorForMaxBonus or liquidationBonusFactor to zero while not using the KEEP_CURRENT sentinel, the call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lstZeroReverts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call reverts if any submitted snapshotRatio, snapshotTimestamp or maxYearlyRatioGrowthPercent is zero.</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stableZeroReverts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zero priceCap in any element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pendleZeroReverts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zero discountRate in any element reverts.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4">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6" w:name="property_08"/>
            <w:r>
              <w:rPr>
                <w:rFonts w:ascii="DM Sans" w:hAnsi="DM Sans" w:cs="DM Sans" w:eastAsia="DM Sans"/>
                <w:sz w:val="24"/>
                <w:szCs w:val="24"/>
                <w:rtl w:val="0"/>
              </w:rPr>
              <w:t xml:space="preserve">P-08. Oracle input gates.</w:t>
            </w:r>
            <w:bookmarkEnd w:id="2036"/>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Checks LST ratio/capped guards and rejects stable/Pendle KEEP_CURRENT values through checked casts. R-4.</w:t>
            </w:r>
          </w:p>
        </w:tc>
      </w:tr>
    </w:tbl>
    <w:p>
      <w:pPr>
        <w:keepNext w:val="1"/>
        <w:spacing w:after="200" w:lineRule="auto"/>
        <w:jc w:val="both"/>
        <w:rPr>
          <w:b w:val="1"/>
          <w:bCs w:val="1"/>
          <w:color w:val="000000"/>
        </w:rPr>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lstSnapshotMustBeBackwardLooking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 submitted snapshot ratio exceeds the adapter ratio modeled for that oracle, the call reverts. This rule does not establish snapshot-timestamp freshness.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lstCappedResultReverts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call reverts when the oracle's modeled isCapped flag is true. The flag is a persistent ghost: the adapter's cap calculation and its response to setCapParameters are not modeled.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stableRejectsKeepCurrent</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KEEP_CURRENT does not fit in int256, so SafeCast reverts: the sentinel cannot be smuggled through the price-cap value field.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pendleRejectsKeepCurrent</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KEEP_CURRENT does not fit in the discount-rate width, so the cast reverts: the sentinel cannot be smuggled through the discount-rate value field.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8">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7" w:name="property_09"/>
            <w:r>
              <w:rPr>
                <w:rFonts w:ascii="DM Sans" w:hAnsi="DM Sans" w:cs="DM Sans" w:eastAsia="DM Sans"/>
                <w:sz w:val="24"/>
                <w:szCs w:val="24"/>
                <w:rtl w:val="0"/>
              </w:rPr>
              <w:t xml:space="preserve">P-09. Protocol debounce stamping.</w:t>
            </w:r>
            <w:bookmarkEnd w:id="2037"/>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Records time for written fields while preserving sentinel and unrelated timestamps. R-2, R-3.</w:t>
            </w:r>
          </w:p>
        </w:tc>
      </w:tr>
    </w:tbl>
    <w:p>
      <w:pPr>
        <w:keepNext w:val="1"/>
        <w:spacing w:after="200" w:lineRule="auto"/>
        <w:jc w:val="both"/>
        <w:rPr>
          <w:b w:val="1"/>
          <w:bCs w:val="1"/>
          <w:color w:val="000000"/>
        </w:rPr>
      </w:pPr>
      <w:r>
        <w:rPr>
          <w:color w:val="000000"/>
          <w:rtl w:val="0"/>
        </w:rPr>
        <w:t xml:space="preserve">Source: certora/specs/transitions/DebounceStamping.spec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hubAssetIrDebounceStamping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(hub, asset) over the four interest-rate fields, each with its width-matched sentinel: a non-KEEP_CURRENT write stamps that field to e.block.timestamp, a KEEP_CURRENT sibling keeps its previous stamp, and no other (hub, asset) key moves.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hubSpokeCapsDebounceStamping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(hub, spoke, asset) over addCap and drawCap: a non-sentinel write stamps that cap, a KEEP_CURRENT sibling keeps its stamp, and no other key moves.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(spoke, hub, asset): a non-sentinel collateralRisk write stamps that field to e.block.timestamp and no other key moves.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dynamicUpdateDebounceStamping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(spoke, hub, asset) over the two governed fields sharing that key: each non-sentinel write stamps its own field, a KEEP_CURRENT sibling keeps its stamp, and no other key moves.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liquidationDebounceStamping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the spoke over the three spoke-global liquidation fields: each non-sentinel write stamps its own field, a KEEP_CURRENT sibling keeps its stamp, and no other spoke moves.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dynamicAdditionStampsBoth</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writes both governed fields unconditionally, so it deliberately consumes both shared debounce windows for its (spoke, hub, asset) key and leaves every other key untouched.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4">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8" w:name="property_10"/>
            <w:r>
              <w:rPr>
                <w:rFonts w:ascii="DM Sans" w:hAnsi="DM Sans" w:cs="DM Sans" w:eastAsia="DM Sans"/>
                <w:sz w:val="24"/>
                <w:szCs w:val="24"/>
                <w:rtl w:val="0"/>
              </w:rPr>
              <w:t xml:space="preserve">P-10. Minimum-delay enforcement.</w:t>
            </w:r>
            <w:bookmarkEnd w:id="2038"/>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Requires the relevant configured delay before each governed write. A configured zero delay is permitted. R-2.</w:t>
            </w:r>
          </w:p>
        </w:tc>
      </w:tr>
    </w:tbl>
    <w:p>
      <w:pPr>
        <w:keepNext w:val="1"/>
        <w:spacing w:after="200" w:lineRule="auto"/>
        <w:jc w:val="both"/>
        <w:rPr>
          <w:b w:val="1"/>
          <w:bCs w:val="1"/>
          <w:color w:val="000000"/>
        </w:rPr>
      </w:pPr>
      <w:r>
        <w:rPr>
          <w:color w:val="000000"/>
          <w:rtl w:val="0"/>
        </w:rPr>
        <w:t xml:space="preserve">Source: certora/specs/transitions/DebounceStamping.spec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hubAssetIrDebounceEnforced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each of the four interest-rate fields, with its width-matched sentinel: a successful non-sentinel write implies at least _config.hub.rate.&lt;field&gt;.minDelay had elapsed since that field's own previous stamp.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hubSpokeCapsDebounceEnforced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non-sentinel addCap or drawCap write implies at least the corresponding _config.hub.cap.&lt;field&gt;.minDelay had elapsed since that cap's own previous stamp.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non-sentinel collateralRisk write implies at least _config.spoke.collateralRisk.minDelay had elapsed since that field's previous stamp.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dynamicUpdateDebounceEnforced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Bounded by _config.spoke.dynamicUpdate: a successful non-sentinel write of collateralFactor or maxLiquidationBonus implies that field's minDelay had elapsed. The addition path uses its own bound.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8">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dynamicAdditionDebounceEnforced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always writes both fields, so _validateParamUpdate never takes its KEEP_CURRENT early return on this path: both _config.spoke.dynamicAdd minDelays must have elapsed.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liquidationDebounceEnforced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non-sentinel write of targetHealthFactor, healthFactorForMaxBonus or liquidationBonusFactor implies that the configured minDelay has elapsed since that field’s previous timestamp.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lstOracleDebounceEnforced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updateLstPriceCaps implies at least _config.oracle.priceCapLst.minDelay had elapsed since that oracle's previous stamp.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stableOracleDebounceEnforced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updateStablePriceCaps implies at least _config.oracle.priceCapStable.minDelay had elapsed since that oracle's previous stamp.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pendleOracleDebounceEnforced</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updatePendleDiscountRates implies at least _config.oracle.discountRatePendle.minDelay had elapsed since that oracle's previous stamp.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3">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39" w:name="property_11"/>
            <w:r>
              <w:rPr>
                <w:rFonts w:ascii="DM Sans" w:hAnsi="DM Sans" w:cs="DM Sans" w:eastAsia="DM Sans"/>
                <w:sz w:val="24"/>
                <w:szCs w:val="24"/>
                <w:rtl w:val="0"/>
              </w:rPr>
              <w:t xml:space="preserve">P-11. Debounce storage integrity.</w:t>
            </w:r>
            <w:bookmarkEnd w:id="2039"/>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Prevents non-update methods from modifying any of the six debounce mappings. R-2.</w:t>
            </w:r>
          </w:p>
        </w:tc>
      </w:tr>
    </w:tbl>
    <w:p>
      <w:pPr>
        <w:keepNext w:val="1"/>
        <w:spacing w:after="200" w:lineRule="auto"/>
        <w:jc w:val="both"/>
        <w:rPr>
          <w:b w:val="1"/>
          <w:bCs w:val="1"/>
          <w:color w:val="000000"/>
        </w:rPr>
      </w:pPr>
      <w:r>
        <w:rPr>
          <w:color w:val="000000"/>
          <w:rtl w:val="0"/>
        </w:rPr>
        <w:t xml:space="preserve">Source: certora/specs/transitions/DebounceStamping.spec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debouncesIntactExceptUpdaters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every method outside the nine update entrypoints, all six debounce mappings retain their values at arbitrary observed hub, spoke, asset and oracle keys.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4">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0" w:name="property_12"/>
            <w:r>
              <w:rPr>
                <w:rFonts w:ascii="DM Sans" w:hAnsi="DM Sans" w:cs="DM Sans" w:eastAsia="DM Sans"/>
                <w:sz w:val="24"/>
                <w:szCs w:val="24"/>
                <w:rtl w:val="0"/>
              </w:rPr>
              <w:t xml:space="preserve">P-12. Oracle debounce stamping.</w:t>
            </w:r>
            <w:bookmarkEnd w:id="2040"/>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Updates the first submitted oracle timestamp and preserves any oracle omitted from the batch. R-2.</w:t>
            </w:r>
          </w:p>
        </w:tc>
      </w:tr>
    </w:tbl>
    <w:p>
      <w:pPr>
        <w:keepNext w:val="1"/>
        <w:spacing w:after="200" w:lineRule="auto"/>
        <w:jc w:val="both"/>
        <w:rPr>
          <w:b w:val="1"/>
          <w:bCs w:val="1"/>
          <w:color w:val="000000"/>
        </w:rPr>
      </w:pPr>
      <w:r>
        <w:rPr>
          <w:color w:val="000000"/>
          <w:rtl w:val="0"/>
        </w:rPr>
        <w:t xml:space="preserve">Source: certora/specs/OracleProperties.spec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lstPriceCapDebounceStamping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updateLstPriceCaps sets the submitted oracle's debounce to e.block.timestamp and leaves the stamp of any oracle the batch does not name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stablePriceCapDebounceStamping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updateStablePriceCaps sets the submitted oracle's debounce to e.block.timestamp and leaves the stamp of any oracle the batch does not name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pendleDiscountDebounceStamping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updatePendleDiscountRates sets the submitted oracle's debounce to e.block.timestamp and leaves the stamp of any oracle the batch does not name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7">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1" w:name="property_13"/>
            <w:r>
              <w:rPr>
                <w:rFonts w:ascii="DM Sans" w:hAnsi="DM Sans" w:cs="DM Sans" w:eastAsia="DM Sans"/>
                <w:sz w:val="24"/>
                <w:szCs w:val="24"/>
                <w:rtl w:val="0"/>
              </w:rPr>
              <w:t xml:space="preserve">P-13. Oracle magnitude bounds.</w:t>
            </w:r>
            <w:bookmarkEnd w:id="2041"/>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Bounds the modeled growth rate, stable cap and Pendle discount rate. The effective LST price cap is outside this magnitude guarantee. R-4.</w:t>
            </w:r>
          </w:p>
        </w:tc>
      </w:tr>
    </w:tbl>
    <w:p>
      <w:pPr>
        <w:keepNext w:val="1"/>
        <w:spacing w:after="200" w:lineRule="auto"/>
        <w:jc w:val="both"/>
        <w:rPr>
          <w:b w:val="1"/>
          <w:bCs w:val="1"/>
          <w:color w:val="000000"/>
        </w:rPr>
      </w:pPr>
      <w:r>
        <w:rPr>
          <w:color w:val="000000"/>
          <w:rtl w:val="0"/>
        </w:rPr>
        <w:t xml:space="preserve">Source: certora/specs/OracleProperties.spec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lstPriceCapMagnitude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adapter, the absolute change in the mirrored maxYearlyRatioGrowthPercent across updateLstPriceCaps is at most the bound _updateWithinAllowedRange enforces from _config.oracle.priceCapLst, relative or absolute as configured.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8">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stablePriceCapMagnitude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adapter, the absolute change in the mirrored _priceCap across updateStablePriceCaps is at most the bound derived from _config.oracle.priceCapStable.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pendleDiscountRateMagnitude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adapter, the absolute change in the mirrored discountRatePerYear across updatePendleDiscountRates is at most the bound derived from _config.oracle.discountRatePendle.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0">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2" w:name="property_14"/>
            <w:r>
              <w:rPr>
                <w:rFonts w:ascii="DM Sans" w:hAnsi="DM Sans" w:cs="DM Sans" w:eastAsia="DM Sans"/>
                <w:sz w:val="24"/>
                <w:szCs w:val="24"/>
                <w:rtl w:val="0"/>
              </w:rPr>
              <w:t xml:space="preserve">P-14. Protocol magnitude bounds.</w:t>
            </w:r>
            <w:bookmarkEnd w:id="2042"/>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Bounds changes in actual linked Hub, Spoke and strategy storage under the single-element proof configuration. R-2.</w:t>
            </w:r>
          </w:p>
        </w:tc>
      </w:tr>
    </w:tbl>
    <w:p>
      <w:pPr>
        <w:keepNext w:val="1"/>
        <w:spacing w:after="200" w:lineRule="auto"/>
        <w:jc w:val="both"/>
        <w:rPr>
          <w:b w:val="1"/>
          <w:bCs w:val="1"/>
          <w:color w:val="000000"/>
        </w:rPr>
      </w:pPr>
      <w:r>
        <w:rPr>
          <w:color w:val="000000"/>
          <w:rtl w:val="0"/>
        </w:rPr>
        <w:t xml:space="preserve">Source: certora/specs/transitions/ProtocolEffects.spec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capsAddCapMagnitude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Hub's stored addCap for an arbitrary (assetId, spoke) cell moves by at most the bound derived from _config.hub.cap.addCap (relative, as governance configures it).</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capsDrawCapMagnitude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Hub's stored drawCap for an arbitrary (assetId, spoke) cell moves by at most the bound derived from _config.hub.cap.drawCap.</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reserveCollateralRiskMagnitude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Spoke's stored collateralRisk for an arbitrary reserveId moves by at most the absolute bound in _config.spoke.collateralRisk.</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dynUpdateCollateralFactorMagnitude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(reserveId, key) cell, collateralFactor moves by at most the absolute bound in _config.spoke.dynamicUpdate.collateralFactor.</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4">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dynUpdateMaxLiquidationBonusMagnitude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(reserveId, key) cell, maxLiquidationBonus moves by at most the absolute bound in _config.spoke.dynamicUpdate.maxLiquidationBonus.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dynAddCollateralFactorMagnitude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On the addition path, the new collateralFactor is within the absolute bound in _config.spoke.dynamicAdd.collateralFactor of the value it extends.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dynAddMaxLiquidationBonusMagnitude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On the addition path, the new maxLiquidationBonus is within the absolute bound in _config.spoke.dynamicAdd.maxLiquidationBonus of the value it extends.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liqTargetHealthFactorMagnitude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observed Spoke targetHealthFactor changes by at most its configured bound, under the configured loop-unrolling limit.</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8">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liqHealthFactorForMaxBonusMagnitude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update with both sibling fields set to KEEP_CURRENT, a non-sentinel healthFactorForMaxBonus changes the observed Spoke value by at most its configured bound.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liqBonusFactorMagnitude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update with both sibling fields set to KEEP_CURRENT, a non-sentinel liquidationBonusFactor changes the observed Spoke value by at most its configured bound.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assetIROptimalUsageRatioMagnitude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optimalUsageRatio for an arbitrary assetId moves by at most the absolute bound in _config.hub.rate.optimalUsageRatio.</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assetIRBaseDrawnRateMagnitude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baseDrawnRate for an arbitrary assetId moves by at most the absolute bound in _config.hub.rate.baseDrawnRate.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assetIRRateGrowthBeforeOptimalMagnitude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rateGrowthBeforeOptimal for an arbitrary assetId moves by at most the absolute bound in _config.hub.rate.rateGrowthBeforeOptimal.</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assetIRRateGrowthAfterOptimalMagnitude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rateGrowthAfterOptimal for an arbitrary assetId moves by at most the absolute bound in _config.hub.rate.rateGrowthAfterOptimal.</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4">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3" w:name="property_15"/>
            <w:r>
              <w:rPr>
                <w:rFonts w:ascii="DM Sans" w:hAnsi="DM Sans" w:cs="DM Sans" w:eastAsia="DM Sans"/>
                <w:sz w:val="24"/>
                <w:szCs w:val="24"/>
                <w:rtl w:val="0"/>
              </w:rPr>
              <w:t xml:space="preserve">P-15. Protocol write fidelity.</w:t>
            </w:r>
            <w:bookmarkEnd w:id="2043"/>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Checks that a successful write installs the submitted value in the linked protocol component. R-3.</w:t>
            </w:r>
          </w:p>
        </w:tc>
      </w:tr>
    </w:tbl>
    <w:p>
      <w:pPr>
        <w:keepNext w:val="1"/>
        <w:spacing w:after="200" w:lineRule="auto"/>
        <w:jc w:val="both"/>
        <w:rPr>
          <w:b w:val="1"/>
          <w:bCs w:val="1"/>
          <w:color w:val="000000"/>
        </w:rPr>
      </w:pPr>
      <w:r>
        <w:rPr>
          <w:color w:val="000000"/>
          <w:rtl w:val="0"/>
        </w:rPr>
        <w:t xml:space="preserve">Source: certora/specs/transitions/ProtocolEffects.spec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spokeCapsAddCapFidelity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updateHubSpokeCaps writing a non-sentinel addCap leaves the Hub's stored addCap for that (assetId, spoke) cell exactly equal to the submitted value.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spokeCapsDrawCapFidelity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updateHubSpokeCaps writing a non-sentinel drawCap leaves the Hub's stored drawCap for that cell exactly equal to the submitted value.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reserveCollateralRiskFidelity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updateReserveConfigs writing a non-sentinel collateralRisk leaves the Spoke's stored value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dynUpdateCollateralFactorFidelity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updateDynamicReserveConfigs writing a non-sentinel collateralFactor leaves the Spoke's stored value for that (reserveId, key) cell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8">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dynUpdateMaxLiquidationBonusFidelity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updateDynamicReserveConfigs writing a non-sentinel maxLiquidationBonus leaves the Spoke's stored value for that cell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dynAddCollateralFactorFidelity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addDynamicReserveConfigs leaves the newly keyed collateralFactor exactly equal to the submitted value.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dynAddMaxLiquidationBonusFidelity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addDynamicReserveConfigs leaves the newly keyed maxLiquidationBonus exactly equal to the submitted value.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liqTargetHealthFactorFidelity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updateSpokeLiquidationConfigs writing a non-sentinel targetHealthFactor leaves the Spoke's stored value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liqHealthFactorForMaxBonusFidelity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council update pinned to the scene Spoke and configurator, with both sibling fields KEEP_CURRENT, a non-sentinel healthFactorForMaxBonus is installed exactly as submitted.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liqBonusFactorFidelity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council update pinned to the scene Spoke and configurator, with both sibling fields KEEP_CURRENT, a non-sentinel liquidationBonusFactor is installed exactly as submitted.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4">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assetIROptimalUsageRatioFidelity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optimalUsageRatio leaves the strategy's stored value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5">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assetIRBaseDrawnRateFidelity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baseDrawnRate leaves the strategy's stored value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assetIRRateGrowthBeforeOptimalFidelity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rateGrowthBeforeOptimal leaves the strategy's stored value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assetIRRateGrowthAfterOptimalFidelity</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rateGrowthAfterOptimal leaves the strategy's stored value exactly equal to the submitted one.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8">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4" w:name="property_16"/>
            <w:r>
              <w:rPr>
                <w:rFonts w:ascii="DM Sans" w:hAnsi="DM Sans" w:cs="DM Sans" w:eastAsia="DM Sans"/>
                <w:sz w:val="24"/>
                <w:szCs w:val="24"/>
                <w:rtl w:val="0"/>
              </w:rPr>
              <w:t xml:space="preserve">P-16. Dynamic addition integrity.</w:t>
            </w:r>
            <w:bookmarkEnd w:id="2044"/>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Requires an existing reference configuration and preserves its liquidation fee in the added configuration. R-3.</w:t>
            </w:r>
          </w:p>
        </w:tc>
      </w:tr>
    </w:tbl>
    <w:p>
      <w:pPr>
        <w:keepNext w:val="1"/>
        <w:spacing w:after="200" w:lineRule="auto"/>
        <w:jc w:val="both"/>
        <w:rPr>
          <w:b w:val="1"/>
          <w:bCs w:val="1"/>
          <w:color w:val="000000"/>
        </w:rPr>
      </w:pPr>
      <w:r>
        <w:rPr>
          <w:color w:val="000000"/>
          <w:rtl w:val="0"/>
        </w:rPr>
        <w:t xml:space="preserve">Source: certora/specs/transitions/ProtocolEffects.spec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dynAddLiquidationFeeFrozen</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addition stores the same liquidation fee as the latest dynamic configuration used as its reference.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dynAddRequiresExistingConfig</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extends an existing dynamic config for the reserve, never bootstraps one: success implies the reserve already had a dynamic config key to extend.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0">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5" w:name="property_17"/>
            <w:r>
              <w:rPr>
                <w:rFonts w:ascii="DM Sans" w:hAnsi="DM Sans" w:cs="DM Sans" w:eastAsia="DM Sans"/>
                <w:sz w:val="24"/>
                <w:szCs w:val="24"/>
                <w:rtl w:val="0"/>
              </w:rPr>
              <w:t xml:space="preserve">P-17. Out-of-scope field preservation.</w:t>
            </w:r>
            <w:bookmarkEnd w:id="2045"/>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Preserves Hub fees/strategy, Spoke flags and liquidation fees; detects attempted reserve-price-source writes. R-3.</w:t>
            </w:r>
          </w:p>
        </w:tc>
      </w:tr>
    </w:tbl>
    <w:p>
      <w:pPr>
        <w:keepNext w:val="1"/>
        <w:spacing w:after="200" w:lineRule="auto"/>
        <w:jc w:val="both"/>
        <w:rPr>
          <w:b w:val="1"/>
          <w:bCs w:val="1"/>
          <w:color w:val="000000"/>
        </w:rPr>
      </w:pPr>
      <w:r>
        <w:rPr>
          <w:color w:val="000000"/>
          <w:rtl w:val="0"/>
        </w:rPr>
        <w:t xml:space="preserve">Source: certora/specs/transitions/Immutability.spec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hubKeepsOutOfScopeFields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Hub harness: a successful updateHubAssetIRs leaves liquidityFee, feeReceiver, irStrategy and reinvestmentController of the observed asset config at their pre-call values.</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1">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capsKeepsOutOfScopeFields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Hub harness: a successful updateHubSpokeCaps leaves riskPremiumThreshold, active and halted of the observed (assetId, spoke) spoke config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2">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reserveKeepsPriceSource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priceSource lives in the out-of-scene oracle, so an attempted write is observable through a ghost: a successful updateReserveConfigs never triggers it.</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reserveKeepsFlags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Spoke harness: a successful updateReserveConfigs leaves paused, frozen, borrowable and receiveSharesEnabled of the observed reserve config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4">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dynKeepsLiquidationFee</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Spoke harness: a successful updateDynamicReserveConfigs leaves liquidationFee of the observed (reserveId, key) dynamic config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5">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6" w:name="property_18"/>
            <w:r>
              <w:rPr>
                <w:rFonts w:ascii="DM Sans" w:hAnsi="DM Sans" w:cs="DM Sans" w:eastAsia="DM Sans"/>
                <w:sz w:val="24"/>
                <w:szCs w:val="24"/>
                <w:rtl w:val="0"/>
              </w:rPr>
              <w:t xml:space="preserve">P-18. Sentinel and sibling preservation.</w:t>
            </w:r>
            <w:bookmarkEnd w:id="2046"/>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Preserves paired cap/dynamic fields and sentinel interest-rate/liquidation fields. R-3.</w:t>
            </w:r>
          </w:p>
        </w:tc>
      </w:tr>
    </w:tbl>
    <w:p>
      <w:pPr>
        <w:keepNext w:val="1"/>
        <w:spacing w:after="200" w:lineRule="auto"/>
        <w:jc w:val="both"/>
        <w:rPr>
          <w:b w:val="1"/>
          <w:bCs w:val="1"/>
          <w:color w:val="000000"/>
        </w:rPr>
      </w:pPr>
      <w:r>
        <w:rPr>
          <w:color w:val="000000"/>
          <w:rtl w:val="0"/>
        </w:rPr>
        <w:t xml:space="preserve">Source: certora/specs/transitions/Immutability.spec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irKeepsSentinelFields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update pinned to the scene Hub and strategy, each interest-rate field carrying its width-specific KEEP_CURRENT sentinel retains its pre-call value.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6">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addCapDoesNotMoveDrawCap</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SpokeConfigUpdate that writes addCap and leaves drawCap at KEEP_CURRENT leaves the Hub's stored drawCap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7">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drawCapDoesNotMoveAddCap</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SpokeConfigUpdate that writes drawCap and leaves addCap at KEEP_CURRENT leaves the Hub's stored addCap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8">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collateralFactorKeepsMaxBonus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DynamicReserveConfigUpdate that writes collateralFactor and leaves maxLiquidationBonus at KEEP_CURRENT leaves the Spoke's stored maxLiquidationBonus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9">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maxBonusKeepsCollateralFactor</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DynamicReserveConfigUpdate that writes maxLiquidationBonus and leaves collateralFactor at KEEP_CURRENT leaves the Spoke's stored collateralFactor unchanged.</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0">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liqKeepsSentinelFields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liquidation update, every field carrying KEEP_CURRENT retains its value in the observed Spoke liquidation configuration.</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1">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7" w:name="property_19"/>
            <w:r>
              <w:rPr>
                <w:rFonts w:ascii="DM Sans" w:hAnsi="DM Sans" w:cs="DM Sans" w:eastAsia="DM Sans"/>
                <w:sz w:val="24"/>
                <w:szCs w:val="24"/>
                <w:rtl w:val="0"/>
              </w:rPr>
              <w:t xml:space="preserve">P-19. Existing dynamic-key preservation.</w:t>
            </w:r>
            <w:bookmarkEnd w:id="2047"/>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Ensures additions preserve earlier dynamic configurations, for batches of at most two additions. R-3.</w:t>
            </w:r>
          </w:p>
        </w:tc>
      </w:tr>
    </w:tbl>
    <w:p>
      <w:pPr>
        <w:keepNext w:val="1"/>
        <w:spacing w:after="200" w:lineRule="auto"/>
        <w:jc w:val="both"/>
        <w:rPr>
          <w:b w:val="1"/>
          <w:bCs w:val="1"/>
          <w:color w:val="000000"/>
        </w:rPr>
      </w:pPr>
      <w:r>
        <w:rPr>
          <w:color w:val="000000"/>
          <w:rtl w:val="0"/>
        </w:rPr>
        <w:t xml:space="preserve">Source: certora/specs/transitions/Immutability.spec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dynAddKeepsEarlierKeys</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at most two additions, every observed pre-existing dynamic configuration retains its collateral factor, maximum liquidation bonus and liquidation fee.</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2">
              <w:r>
                <w:rPr>
                  <w:rFonts w:ascii="Sora" w:cs="Sora" w:eastAsia="Sora" w:hAnsi="Sora"/>
                  <w:i w:val="1"/>
                  <w:iCs w:val="1"/>
                  <w:color w:val="1155CC"/>
                  <w:sz w:val="16"/>
                  <w:szCs w:val="16"/>
                  <w:u w:val="single"/>
                  <w:rtl w:val="0"/>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 w:hRule="atLeast"/>
          <w:tblHeader w:val="0"/>
        </w:trPr>
        <w:tc>
          <w:tcPr>
            <w:tcW w:w="10680" w:type="dxa"/>
            <w:gridSpan w:val="2"/>
            <w:tcBorders>
              <w:top w:color="d9d9d9" w:space="0" w:sz="18" w:val="single"/>
              <w:left w:color="d9d9d9" w:space="0" w:sz="18" w:val="single"/>
              <w:bottom w:color="d9d9d9" w:space="0" w:sz="8" w:val="single"/>
              <w:right w:color="d9d9d9" w:space="0" w:sz="8" w:val="single"/>
            </w:tcBorders>
            <w:tcMar>
              <w:top w:w="144" w:type="dxa"/>
              <w:left w:w="144" w:type="dxa"/>
              <w:bottom w:w="144" w:type="dxa"/>
              <w:right w:w="144" w:type="dxa"/>
            </w:tcMar>
          </w:tcPr>
          <w:p>
            <w:pPr>
              <w:pStyle w:val="Heading2"/>
              <w:keepNext w:val="1"/>
              <w:spacing w:before="120" w:line="240" w:lineRule="auto"/>
              <w:rPr>
                <w:rFonts w:ascii="DM Sans" w:hAnsi="DM Sans" w:cs="DM Sans" w:eastAsia="DM Sans"/>
              </w:rPr>
            </w:pPr>
            <w:bookmarkStart w:id="2048" w:name="property_20"/>
            <w:r>
              <w:rPr>
                <w:rFonts w:ascii="DM Sans" w:hAnsi="DM Sans" w:cs="DM Sans" w:eastAsia="DM Sans"/>
                <w:sz w:val="24"/>
                <w:szCs w:val="24"/>
                <w:rtl w:val="0"/>
              </w:rPr>
              <w:t xml:space="preserve">P-20. Percentage arithmetic equivalence.</w:t>
            </w:r>
            <w:bookmarkEnd w:id="2048"/>
          </w:p>
        </w:tc>
      </w:tr>
      <w:tr>
        <w:trPr>
          <w:cantSplit w:val="1"/>
          <w:trHeight w:val="555" w:hRule="atLeast"/>
          <w:tblHeader w:val="0"/>
        </w:trPr>
        <w:tc>
          <w:tcPr>
            <w:tcW w:w="3840" w:type="dxa"/>
            <w:tcBorders>
              <w:top w:color="d9d9d9" w:space="0" w:sz="8" w:val="single"/>
              <w:left w:color="d9d9d9" w:space="0" w:sz="8" w:val="single"/>
              <w:bottom w:color="d9d9d9" w:space="0" w:sz="8" w:val="single"/>
              <w:right w:color="d9d9d9" w:space="0" w:sz="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sz w:val="20"/>
                <w:szCs w:val="20"/>
                <w:rtl w:val="0"/>
              </w:rPr>
              <w:t xml:space="preserve">Status: Verified</w:t>
            </w:r>
          </w:p>
        </w:tc>
        <w:tc>
          <w:tcPr>
            <w:tcW w:w="6840" w:type="dxa"/>
            <w:tcBorders>
              <w:top w:color="d9d9d9" w:space="0" w:sz="8" w:val="single"/>
              <w:left w:color="d9d9d9" w:space="0" w:sz="8" w:val="single"/>
              <w:bottom w:color="d9d9d9" w:space="0" w:sz="8" w:val="single"/>
              <w:right w:color="d9d9d9" w:space="0" w:sz="18" w:val="single"/>
            </w:tcBorders>
            <w:shd w:fill="a9f2c4" w:val="clear"/>
            <w:tcMar>
              <w:top w:w="144" w:type="dxa"/>
              <w:left w:w="144" w:type="dxa"/>
              <w:bottom w:w="144" w:type="dxa"/>
              <w:right w:w="144" w:type="dxa"/>
            </w:tcMar>
            <w:vAlign w:val="center"/>
          </w:tcPr>
          <w:p>
            <w:pPr>
              <w:keepNext w:val="1"/>
              <w:spacing w:line="240" w:lineRule="auto"/>
              <w:rPr>
                <w:b w:val="1"/>
                <w:bCs w:val="1"/>
                <w:sz w:val="20"/>
                <w:szCs w:val="20"/>
              </w:rPr>
            </w:pPr>
            <w:r>
              <w:rPr>
                <w:b w:val="1"/>
                <w:bCs w:val="1"/>
                <w:sz w:val="20"/>
                <w:szCs w:val="20"/>
                <w:rtl w:val="0"/>
              </w:rPr>
              <w:t xml:space="preserve">Checks the arithmetic summary against shipped Solidity assembly, including overflow and rounding. R-2.</w:t>
            </w:r>
          </w:p>
        </w:tc>
      </w:tr>
    </w:tbl>
    <w:p>
      <w:pPr>
        <w:keepNext w:val="1"/>
        <w:spacing w:after="200" w:lineRule="auto"/>
        <w:jc w:val="both"/>
        <w:rPr>
          <w:b w:val="1"/>
          <w:bCs w:val="1"/>
          <w:color w:val="000000"/>
        </w:rPr>
      </w:pPr>
      <w:r>
        <w:rPr>
          <w:color w:val="000000"/>
          <w:rtl w:val="0"/>
        </w:rPr>
        <w:t xml:space="preserve">Source: certora/specs/PercentMulDownEquivalence.spec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W w:w="1950" w:type="dxa"/>
            <w:tcBorders>
              <w:top w:color="ffffff" w:space="0" w:sz="24" w:val="single"/>
              <w:left w:color="d9d9d9" w:space="0" w:sz="18"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W w:w="1920" w:type="dxa"/>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tcW w:w="4620" w:type="dxa"/>
            <w:gridSpan w:val="2"/>
            <w:tcBorders>
              <w:top w:color="ffffff" w:space="0" w:sz="24" w:val="single"/>
              <w:left w:color="ffffff" w:space="0" w:sz="24" w:val="single"/>
              <w:bottom w:color="ffffff" w:space="0" w:sz="24" w:val="single"/>
              <w:right w:color="ffffff" w:space="0" w:sz="24"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W w:w="2205" w:type="dxa"/>
            <w:tcBorders>
              <w:top w:color="ffffff" w:space="0" w:sz="24" w:val="single"/>
              <w:left w:color="ffffff" w:space="0" w:sz="24" w:val="single"/>
              <w:bottom w:color="ffffff" w:space="0" w:sz="24" w:val="single"/>
              <w:right w:color="cccccc" w:space="0" w:sz="18" w:val="single"/>
            </w:tcBorders>
            <w:tcMar>
              <w:top w:w="173" w:type="dxa"/>
              <w:left w:w="173" w:type="dxa"/>
              <w:bottom w:w="173" w:type="dxa"/>
              <w:right w:w="173" w:type="dxa"/>
            </w:tcMar>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percentMulDownRevertsOnlyOnOverflow</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Solidity wrapper reverts exactly when the intermediate value × percentage exceeds the uint256 maximum.</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3">
              <w:r>
                <w:rPr>
                  <w:rFonts w:ascii="Sora" w:cs="Sora" w:eastAsia="Sora" w:hAnsi="Sora"/>
                  <w:i w:val="1"/>
                  <w:iCs w:val="1"/>
                  <w:color w:val="1155CC"/>
                  <w:sz w:val="16"/>
                  <w:szCs w:val="16"/>
                  <w:u w:val="single"/>
                  <w:rtl w:val="0"/>
                </w:rPr>
                <w:t xml:space="preserve">Baseline report</w:t>
              </w:r>
            </w:hyperlink>
          </w:p>
        </w:tc>
      </w:tr>
      <w:tr>
        <w:trPr>
          <w:cantSplit w:val="1"/>
          <w:trHeight w:val="510" w:hRule="atLeast"/>
          <w:tblHeader w:val="0"/>
        </w:trPr>
        <w:tc>
          <w:tcPr>
            <w:tcW w:w="1950" w:type="dxa"/>
            <w:tcBorders>
              <w:top w:color="ffffff" w:space="0" w:sz="24" w:val="single"/>
              <w:left w:color="d9d9d9" w:space="0" w:sz="18" w:val="single"/>
              <w:bottom w:color="ffffff" w:space="0" w:sz="24" w:val="single"/>
              <w:right w:color="ffffff" w:space="0" w:sz="24" w:val="single"/>
            </w:tcBorders>
            <w:shd w:fill="f3f3f3" w:val="clear"/>
            <w:tcMar>
              <w:top w:w="173" w:type="dxa"/>
              <w:left w:w="173" w:type="dxa"/>
              <w:bottom w:w="173" w:type="dxa"/>
              <w:right w:w="173" w:type="dxa"/>
            </w:tcMar>
          </w:tcPr>
          <w:p>
            <w:pPr>
              <w:widowControl w:val="0"/>
              <w:shd w:fill="f5f5f5" w:val="clear"/>
              <w:spacing w:line="240" w:lineRule="auto"/>
              <w:rPr>
                <w:sz w:val="18"/>
                <w:szCs w:val="18"/>
              </w:rPr>
            </w:pPr>
            <w:r>
              <w:rPr>
                <w:rFonts w:ascii="Arial" w:cs="Arial" w:eastAsia="Arial" w:hAnsi="Arial"/>
                <w:b w:val="1"/>
                <w:bCs w:val="1"/>
                <w:sz w:val="21"/>
                <w:szCs w:val="21"/>
                <w:rtl w:val="0"/>
              </w:rPr>
              <w:t xml:space="preserve">percentMulDownMatchesCVL</w:t>
            </w:r>
          </w:p>
        </w:tc>
        <w:tc>
          <w:tcPr>
            <w:tcW w:w="1920" w:type="dxa"/>
            <w:tcBorders>
              <w:top w:color="ffffff" w:space="0" w:sz="24" w:val="single"/>
              <w:left w:color="ffffff" w:space="0" w:sz="24" w:val="single"/>
              <w:bottom w:color="ffffff" w:space="0" w:sz="24" w:val="single"/>
              <w:right w:color="ffffff" w:space="0" w:sz="24" w:val="single"/>
            </w:tcBorders>
            <w:shd w:fill="a9f2c4" w:val="clear"/>
            <w:tcMar>
              <w:top w:w="173" w:type="dxa"/>
              <w:left w:w="173" w:type="dxa"/>
              <w:bottom w:w="173" w:type="dxa"/>
              <w:right w:w="173" w:type="dxa"/>
            </w:tcMar>
          </w:tcPr>
          <w:p>
            <w:pPr>
              <w:spacing w:line="240" w:lineRule="auto"/>
              <w:rPr>
                <w:rFonts w:ascii="Sora" w:cs="Sora" w:eastAsia="Sora" w:hAnsi="Sora"/>
                <w:i w:val="1"/>
                <w:iCs w:val="1"/>
                <w:sz w:val="16"/>
                <w:szCs w:val="16"/>
                <w:highlight w:val="yellow"/>
              </w:rPr>
            </w:pPr>
            <w:r>
              <w:rPr>
                <w:sz w:val="18"/>
                <w:szCs w:val="18"/>
                <w:rtl w:val="0"/>
              </w:rPr>
              <w:t xml:space="preserve">Verified</w:t>
            </w:r>
          </w:p>
        </w:tc>
        <w:tc>
          <w:tcPr>
            <w:tcW w:w="4620" w:type="dxa"/>
            <w:gridSpan w:val="2"/>
            <w:tcBorders>
              <w:top w:color="ffffff" w:space="0" w:sz="24" w:val="single"/>
              <w:left w:color="ffffff" w:space="0" w:sz="24" w:val="single"/>
              <w:bottom w:color="ffffff" w:space="0" w:sz="24" w:val="single"/>
              <w:right w:color="ffffff" w:space="0" w:sz="24"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On every non-reverting Solidity execution, percentMulDown equals floor(value × percentage / 10,000), including rounding down.</w:t>
            </w:r>
          </w:p>
        </w:tc>
        <w:tc>
          <w:tcPr>
            <w:tcW w:w="2205" w:type="dxa"/>
            <w:tcBorders>
              <w:top w:color="ffffff" w:space="0" w:sz="24" w:val="single"/>
              <w:left w:color="ffffff" w:space="0" w:sz="24" w:val="single"/>
              <w:bottom w:color="ffffff" w:space="0" w:sz="24" w:val="single"/>
              <w:right w:color="cccccc" w:space="0" w:sz="18" w:val="single"/>
            </w:tcBorders>
            <w:shd w:fill="f3f3f3" w:val="clear"/>
            <w:tcMar>
              <w:top w:w="173" w:type="dxa"/>
              <w:left w:w="173" w:type="dxa"/>
              <w:bottom w:w="173" w:type="dxa"/>
              <w:right w:w="173" w:type="dxa"/>
            </w:tcMar>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4">
              <w:r>
                <w:rPr>
                  <w:rFonts w:ascii="Sora" w:cs="Sora" w:eastAsia="Sora" w:hAnsi="Sora"/>
                  <w:i w:val="1"/>
                  <w:iCs w:val="1"/>
                  <w:color w:val="1155CC"/>
                  <w:sz w:val="16"/>
                  <w:szCs w:val="16"/>
                  <w:u w:val="single"/>
                  <w:rtl w:val="0"/>
                </w:rPr>
                <w:t xml:space="preserve">Baseline report</w:t>
              </w:r>
            </w:hyperlink>
          </w:p>
        </w:tc>
      </w:tr>
    </w:tbl>
    <w:p>
      <w:pPr>
        <w:pStyle w:val="Heading1"/>
        <w:keepNext w:val="1"/>
        <w:pageBreakBefore w:val="1"/>
        <w:spacing w:after="480" w:before="200" w:line="168" w:lineRule="auto"/>
        <w:jc w:val="both"/>
        <w:rPr>
          <w:rFonts w:ascii="DM Sans" w:cs="DM Sans" w:eastAsia="DM Sans" w:hAnsi="DM Sans"/>
          <w:b w:val="1"/>
          <w:bCs w:val="1"/>
          <w:color w:val="000000"/>
        </w:rPr>
      </w:pPr>
      <w:bookmarkStart w:id="2049" w:name="disclaimer"/>
      <w:r>
        <w:rPr>
          <w:rFonts w:ascii="DM Sans" w:cs="DM Sans" w:eastAsia="DM Sans" w:hAnsi="DM Sans"/>
          <w:b w:val="1"/>
          <w:bCs w:val="1"/>
          <w:color w:val="000000"/>
          <w:rtl w:val="0"/>
        </w:rPr>
        <w:t xml:space="preserve">Disclaimer</w:t>
      </w:r>
      <w:bookmarkEnd w:id="2049"/>
    </w:p>
    <w:p>
      <w:pPr>
        <w:spacing w:after="160" w:before="200" w:line="278" w:lineRule="auto"/>
        <w:jc w:val="both"/>
        <w:rPr>
          <w:color w:val="000000"/>
        </w:rPr>
      </w:pPr>
      <w:r>
        <w:rPr>
          <w:color w:val="000000"/>
          <w:rtl w:val="0"/>
        </w:rPr>
        <w:t xml:space="preserve">Even though we hope this information is helpful, we provide no warranty of any kind, explicit or implied. The contents of this report should not be construed as a complete guarantee that the contract is secure in all dimensions. In no event shall Certora or any of its employees be liable for any claim, damages, or other liability, whether in an action of contract, tort, or otherwise, arising from, out of, or in connection with the results reported here.</w:t>
        <w:br w:type="textWrapping"/>
      </w:r>
    </w:p>
    <w:p>
      <w:pPr>
        <w:pStyle w:val="Heading1"/>
        <w:keepNext w:val="1"/>
        <w:spacing w:after="480" w:before="480" w:line="168" w:lineRule="auto"/>
        <w:jc w:val="both"/>
        <w:rPr>
          <w:rFonts w:ascii="DM Sans" w:cs="DM Sans" w:eastAsia="DM Sans" w:hAnsi="DM Sans"/>
          <w:b w:val="1"/>
          <w:bCs w:val="1"/>
          <w:color w:val="000000"/>
        </w:rPr>
      </w:pPr>
      <w:bookmarkStart w:id="2050" w:name="about"/>
      <w:r>
        <w:rPr>
          <w:rFonts w:ascii="DM Sans" w:cs="DM Sans" w:eastAsia="DM Sans" w:hAnsi="DM Sans"/>
          <w:b w:val="1"/>
          <w:bCs w:val="1"/>
          <w:color w:val="000000"/>
          <w:rtl w:val="0"/>
        </w:rPr>
        <w:t xml:space="preserve">About Certora</w:t>
      </w:r>
      <w:bookmarkEnd w:id="2050"/>
    </w:p>
    <w:p>
      <w:pPr>
        <w:spacing w:after="240" w:before="200" w:line="278" w:lineRule="auto"/>
        <w:jc w:val="both"/>
        <w:rPr>
          <w:color w:val="000000"/>
        </w:rPr>
      </w:pPr>
      <w:r>
        <w:rPr>
          <w:color w:val="000000"/>
          <w:rtl w:val="0"/>
        </w:rPr>
        <w:t xml:space="preserve">Certora is a Web3 security company that provides industry-leading formal verification tools and smart contract audits. Certora’s flagship security product, Certora Prover, is a unique SaaS product that automatically locates even the most rare &amp; hard-to-find bugs on your smart contracts or mathematically proves their absence. The Certora Prover plugs into your standard deployment pipeline and is widely used by developers and security researchers during audits and bug bounties.</w:t>
      </w:r>
    </w:p>
    <w:p>
      <w:pPr>
        <w:spacing w:after="240" w:before="200" w:line="278" w:lineRule="auto"/>
        <w:jc w:val="both"/>
        <w:rPr>
          <w:color w:val="000000"/>
        </w:rPr>
      </w:pPr>
      <w:r>
        <w:rPr>
          <w:color w:val="000000"/>
          <w:rtl w:val="0"/>
        </w:rPr>
        <w:t xml:space="preserve">Certora also provides architectural design reviews, where researchers analyze system design and trust boundaries early to identify structural risks and reduce complexity before implementation.</w:t>
      </w:r>
    </w:p>
    <w:p>
      <w:pPr>
        <w:spacing w:after="240" w:before="200" w:line="278" w:lineRule="auto"/>
        <w:jc w:val="both"/>
        <w:rPr>
          <w:color w:val="000000"/>
        </w:rPr>
      </w:pPr>
      <w:r>
        <w:rPr>
          <w:color w:val="000000"/>
          <w:rtl w:val="0"/>
        </w:rPr>
        <w:t xml:space="preserve">Certora conducts off-chain audits covering backend services, APIs, frontend, and mobile applications, focusing on vulnerabilities in authentication, data handling, key management, and wallet-related workflows.</w:t>
      </w:r>
    </w:p>
    <w:p>
      <w:pPr>
        <w:spacing w:after="240" w:before="200" w:line="278" w:lineRule="auto"/>
        <w:jc w:val="both"/>
        <w:rPr>
          <w:color w:val="000000"/>
        </w:rPr>
      </w:pPr>
      <w:r>
        <w:rPr>
          <w:color w:val="000000"/>
          <w:rtl w:val="0"/>
        </w:rPr>
        <w:t xml:space="preserve">Certora also offers Penetration Testing and Red Teaming to simulate real-world attacks and uncover exploitable weaknesses across infrastructure, applications, and business logic.</w:t>
      </w:r>
    </w:p>
    <w:p>
      <w:pPr>
        <w:spacing w:after="240" w:before="200" w:line="278" w:lineRule="auto"/>
        <w:jc w:val="both"/>
        <w:rPr/>
      </w:pPr>
      <w:r>
        <w:rPr>
          <w:color w:val="000000"/>
          <w:rtl w:val="0"/>
        </w:rPr>
        <w:t xml:space="preserve">In addition, Certora provides operational security (OpSec) assessments, reviewing key management, access controls, and operational processes to strengthen overall security posture.</w:t>
      </w:r>
      <w:r>
        <w:rPr>
          <w:rtl w:val="0"/>
        </w:rPr>
      </w:r>
    </w:p>
    <w:sectPr>
      <w:headerReference r:id="rId10" w:type="default"/>
      <w:headerReference r:id="rId11" w:type="first"/>
      <w:footerReference r:id="rId12" w:type="default"/>
      <w:footerReference r:id="rId13" w:type="first"/>
      <w:pgSz w:h="15840" w:w="12240" w:orient="portrait"/>
      <w:pgMar w:bottom="720" w:top="1980" w:left="720" w:right="720"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ra">
    <w:embedRegular w:fontKey="{00000000-0000-0000-0000-000000000000}" r:id="rId17" w:subsetted="0"/>
    <w:embedBold w:fontKey="{00000000-0000-0000-0000-000000000000}" r:id="rId18" w:subsetted="0"/>
  </w:font>
  <w:font w:name="Roboto Mono">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DM Sans">
    <w:embedRegular w:fontKey="{00000000-0000-0000-0000-000000000000}" r:id="rId23" w:subsetted="0"/>
    <w:embedBold w:fontKey="{00000000-0000-0000-0000-000000000000}" r:id="rId24" w:subsetted="0"/>
    <w:embedItalic w:fontKey="{00000000-0000-0000-0000-000000000000}" r:id="rId25" w:subsetted="0"/>
    <w:embedBoldItalic w:fontKey="{00000000-0000-0000-0000-000000000000}" r:id="rId26" w:subsetted="0"/>
  </w:font>
  <w:font w:name="PT Mono">
    <w:embedRegular w:fontKey="{00000000-0000-0000-0000-000000000000}" r:id="rId2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jc w:val="right"/>
      <w:rPr>
        <w:rFonts w:ascii="DM Sans Medium" w:cs="DM Sans Medium" w:eastAsia="DM Sans Medium" w:hAnsi="DM Sans Medium"/>
        <w:color w:val="ffffff"/>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jc w:val="right"/>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ab/>
    </w:r>
    <w:r w:rsidDel="00000000" w:rsidR="00000000" w:rsidRPr="00000000">
      <w:rPr>
        <w:rFonts w:ascii="DM Sans Medium" w:cs="DM Sans Medium" w:eastAsia="DM Sans Medium" w:hAnsi="DM Sans Medium"/>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pict>
        <v:shape id="PowerPlusWaterMarkObject2" style="position:absolute;width:498.92405218583394pt;height:264.751271495637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drawing>
        <wp:inline distB="114300" distT="114300" distL="114300" distR="114300">
          <wp:extent cx="1643063" cy="47238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43063" cy="472380"/>
                  </a:xfrm>
                  <a:prstGeom prst="rect"/>
                  <a:ln/>
                </pic:spPr>
              </pic:pic>
            </a:graphicData>
          </a:graphic>
        </wp:inline>
      </w:drawing>
    </w:r>
    <w:r w:rsidDel="00000000" w:rsidR="00000000" w:rsidRPr="00000000">
      <w:rPr>
        <w:rtl w:val="0"/>
      </w:rPr>
      <w:t xml:space="preserve"> </w:t>
      <w:tab/>
      <w:tab/>
      <w:tab/>
      <w:tab/>
      <w:tab/>
      <w:tab/>
      <w:tab/>
    </w:r>
    <w:r w:rsidDel="00000000" w:rsidR="00000000" w:rsidRPr="00000000">
      <w:drawing>
        <wp:anchor allowOverlap="1" behindDoc="1" distB="114300" distT="114300" distL="114300" distR="114300" hidden="0" layoutInCell="1" locked="0" relativeHeight="0" simplePos="0">
          <wp:simplePos x="0" y="0"/>
          <wp:positionH relativeFrom="column">
            <wp:posOffset>5414963</wp:posOffset>
          </wp:positionH>
          <wp:positionV relativeFrom="paragraph">
            <wp:posOffset>123577</wp:posOffset>
          </wp:positionV>
          <wp:extent cx="1576388" cy="263047"/>
          <wp:effectExtent b="0" l="0" r="0" t="0"/>
          <wp:wrapNone/>
          <wp:docPr id="2" name="Aave header logo" descr="Aave"/>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76388" cy="26304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Style w:val="Title"/>
      <w:spacing w:after="60" w:lineRule="auto"/>
      <w:jc w:val="center"/>
      <w:rPr>
        <w:rFonts w:ascii="DM Sans Medium" w:cs="DM Sans Medium" w:eastAsia="DM Sans Medium" w:hAnsi="DM Sans Medium"/>
        <w:color w:val="ffffff"/>
        <w:sz w:val="38"/>
        <w:szCs w:val="38"/>
      </w:rPr>
    </w:pPr>
    <w:bookmarkStart w:colFirst="0" w:colLast="0" w:name="_dku1997arv2y" w:id="49"/>
    <w:bookmarkEnd w:id="49"/>
    <w:r w:rsidDel="00000000" w:rsidR="00000000" w:rsidRPr="00000000">
      <w:rPr>
        <w:rFonts w:ascii="DM Sans Medium" w:cs="DM Sans Medium" w:eastAsia="DM Sans Medium" w:hAnsi="DM Sans Medium"/>
        <w:color w:val="ffffff"/>
        <w:sz w:val="38"/>
        <w:szCs w:val="38"/>
      </w:rPr>
      <w:pict>
        <v:shape id="PowerPlusWaterMarkObject1" style="position:absolute;width:498.92405218583394pt;height:264.751271495637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p w:rsidR="00000000" w:rsidDel="00000000" w:rsidP="00000000" w:rsidRDefault="00000000" w:rsidRPr="00000000" w14:paraId="000001DC">
    <w:pPr>
      <w:rPr>
        <w:rFonts w:ascii="DM Sans Medium" w:cs="DM Sans Medium" w:eastAsia="DM Sans Medium" w:hAnsi="DM Sans Medium"/>
        <w:color w:val="ffffff"/>
        <w:sz w:val="78"/>
        <w:szCs w:val="78"/>
      </w:rPr>
    </w:pPr>
    <w:r w:rsidDel="00000000" w:rsidR="00000000" w:rsidRPr="00000000">
      <w:rPr>
        <w:rtl w:val="0"/>
      </w:rPr>
    </w:r>
  </w:p>
  <w:p w:rsidR="00000000" w:rsidDel="00000000" w:rsidP="00000000" w:rsidRDefault="00000000" w:rsidRPr="00000000" w14:paraId="000001DD">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-223837</wp:posOffset>
              </wp:positionV>
              <wp:extent cx="7791450" cy="10277475"/>
              <wp:effectExtent b="0" l="0" r="0" t="0"/>
              <wp:wrapNone/>
              <wp:docPr id="1" name=""/>
              <a:graphic>
                <a:graphicData uri="http://schemas.microsoft.com/office/word/2010/wordprocessingShape">
                  <wps:wsp>
                    <wps:cNvSpPr/>
                    <wps:cNvPr id="2" name="Shape 2"/>
                    <wps:spPr>
                      <a:xfrm>
                        <a:off x="-246100" y="0"/>
                        <a:ext cx="10071300" cy="8765700"/>
                      </a:xfrm>
                      <a:prstGeom prst="rect">
                        <a:avLst/>
                      </a:prstGeom>
                      <a:solidFill>
                        <a:srgbClr val="0D0D0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-223837</wp:posOffset>
              </wp:positionV>
              <wp:extent cx="7791450" cy="1027747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91450" cy="10277475"/>
                      </a:xfrm>
                      <a:prstGeom prst="rect"/>
                      <a:ln/>
                    </pic:spPr>
                  </pic:pic>
                </a:graphicData>
              </a:graphic>
            </wp:anchor>
          </w:drawing>
        </mc:Fallback>
      </mc:AlternateContent>
    </w:r>
    <w:r w:rsidDel="00000000" w:rsidR="00000000" w:rsidRPr="00000000">
      <w:rPr/>
      <w:drawing>
        <wp:inline distB="114300" distT="114300" distL="114300" distR="114300">
          <wp:extent cx="2464384" cy="717149"/>
          <wp:effectExtent b="0" l="0" r="0" t="0"/>
          <wp:docPr id="3" name="image1.png"/>
          <a:graphic>
            <a:graphicData uri="http://schemas.openxmlformats.org/drawingml/2006/picture">
              <pic:pic>
                <pic:nvPicPr>
                  <pic:cNvPr id="0" name="image1.png"/>
                  <pic:cNvPicPr preferRelativeResize="0"/>
                </pic:nvPicPr>
                <pic:blipFill>
                  <a:blip r:embed="rId2"/>
                  <a:srcRect b="0" l="82" r="82" t="0"/>
                  <a:stretch>
                    <a:fillRect/>
                  </a:stretch>
                </pic:blipFill>
                <pic:spPr>
                  <a:xfrm>
                    <a:off x="0" y="0"/>
                    <a:ext cx="2464384" cy="71714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0d0d0d"/>
        <w:sz w:val="24"/>
        <w:szCs w:val="24"/>
        <w:lang w:val="en"/>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spacing w:line="168" w:lineRule="auto"/>
    </w:pPr>
    <w:rPr>
      <w:rFonts w:ascii="DM Sans" w:cs="DM Sans" w:eastAsia="DM Sans" w:hAnsi="DM Sans"/>
      <w:sz w:val="78"/>
      <w:szCs w:val="78"/>
    </w:rPr>
  </w:style>
  <w:style w:type="paragraph" w:styleId="Heading2">
    <w:name w:val="heading 2"/>
    <w:basedOn w:val="Normal"/>
    <w:next w:val="Normal"/>
    <w:pPr>
      <w:keepNext w:val="1"/>
      <w:keepLines w:val="1"/>
      <w:spacing w:after="120" w:before="360" w:lineRule="auto"/>
    </w:pPr>
    <w:rPr>
      <w:rFonts w:ascii="DM Sans" w:hAnsi="DM Sans" w:cs="DM Sans" w:eastAsia="DM Sans"/>
      <w:b w:val="1"/>
      <w:bCs w:val="1"/>
      <w:sz w:val="32"/>
      <w:szCs w:val="32"/>
    </w:rPr>
  </w:style>
  <w:style w:type="paragraph" w:styleId="Heading3">
    <w:name w:val="heading 3"/>
    <w:basedOn w:val="Normal"/>
    <w:next w:val="Normal"/>
    <w:pPr>
      <w:keepNext w:val="1"/>
      <w:keepLines w:val="1"/>
      <w:spacing w:after="80" w:before="320" w:lineRule="auto"/>
    </w:pPr>
    <w:rPr>
      <w:rFonts w:ascii="DM Sans" w:cs="DM Sans" w:eastAsia="DM Sans" w:hAnsi="DM Sans"/>
      <w:sz w:val="28"/>
      <w:szCs w:val="28"/>
    </w:rPr>
  </w:style>
  <w:style w:type="paragraph" w:styleId="Heading4">
    <w:name w:val="heading 4"/>
    <w:basedOn w:val="Normal"/>
    <w:next w:val="Normal"/>
    <w:pPr>
      <w:keepNext w:val="1"/>
      <w:keepLines w:val="1"/>
      <w:spacing w:after="80" w:before="280" w:lineRule="auto"/>
    </w:pPr>
    <w:rPr>
      <w:rFonts w:ascii="DM Sans" w:cs="DM Sans" w:eastAsia="DM Sans" w:hAnsi="DM Sans"/>
      <w:color w:val="999999"/>
      <w:sz w:val="24"/>
      <w:szCs w:val="24"/>
    </w:rPr>
  </w:style>
  <w:style w:type="paragraph" w:styleId="Heading5">
    <w:name w:val="heading 5"/>
    <w:basedOn w:val="Normal"/>
    <w:next w:val="Normal"/>
    <w:pPr>
      <w:keepNext w:val="1"/>
      <w:keepLines w:val="1"/>
      <w:spacing w:after="80" w:before="240" w:lineRule="auto"/>
    </w:pPr>
    <w:rPr>
      <w:rFonts w:ascii="DM Sans" w:cs="DM Sans" w:eastAsia="DM Sans" w:hAnsi="DM Sans"/>
      <w:color w:val="999999"/>
    </w:rPr>
  </w:style>
  <w:style w:type="paragraph" w:styleId="Heading6">
    <w:name w:val="heading 6"/>
    <w:basedOn w:val="Normal"/>
    <w:next w:val="Normal"/>
    <w:pPr>
      <w:keepNext w:val="1"/>
      <w:keepLines w:val="1"/>
      <w:pageBreakBefore w:val="0"/>
      <w:spacing w:after="80" w:before="240" w:lineRule="auto"/>
    </w:pPr>
    <w:rPr>
      <w:rFonts w:ascii="DM Sans" w:hAnsi="DM Sans" w:cs="DM Sans" w:eastAsia="DM Sans"/>
      <w:i w:val="1"/>
      <w:iCs w:val="1"/>
      <w:color w:val="666666"/>
      <w:sz w:val="22"/>
      <w:szCs w:val="22"/>
    </w:rPr>
  </w:style>
  <w:style w:type="paragraph" w:styleId="Title">
    <w:name w:val="Title"/>
    <w:basedOn w:val="Normal"/>
    <w:next w:val="Normal"/>
    <w:pPr>
      <w:keepNext w:val="1"/>
      <w:keepLines w:val="1"/>
    </w:pPr>
    <w:rPr>
      <w:rFonts w:ascii="DM Sans" w:cs="DM Sans" w:eastAsia="DM Sans" w:hAnsi="DM Sans"/>
      <w:sz w:val="78"/>
      <w:szCs w:val="78"/>
    </w:rPr>
  </w:style>
  <w:style w:type="paragraph" w:styleId="Subtitle">
    <w:name w:val="Subtitle"/>
    <w:basedOn w:val="Normal"/>
    <w:next w:val="Normal"/>
    <w:pPr>
      <w:keepNext w:val="1"/>
      <w:keepLines w:val="1"/>
      <w:pageBreakBefore w:val="0"/>
      <w:spacing w:after="320" w:before="0" w:lineRule="auto"/>
    </w:pPr>
    <w:rPr>
      <w:rFonts w:ascii="DM Sans" w:cs="DM Sans" w:eastAsia="DM Sans" w:hAnsi="DM Sans"/>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ertora.com/en/latest/docs/whitepaper/index.html" TargetMode="External"/><Relationship Id="rId5" Type="http://schemas.openxmlformats.org/officeDocument/2006/relationships/styles" Target="styles.xml"/><Relationship Id="rId6" Type="http://schemas.openxmlformats.org/officeDocument/2006/relationships/hyperlink" Target="https://docs.certora.com/en/latest/docs/cvl/index.html" TargetMode="External"/><Relationship Id="rId7" Type="http://schemas.openxmlformats.org/officeDocument/2006/relationships/hyperlink" Target="https://docs.certora.com/en/latest/docs/whitepaper/index.html" TargetMode="External"/><Relationship Id="rId8" Type="http://schemas.openxmlformats.org/officeDocument/2006/relationships/hyperlink" Target="https://docs.certora.com/en/latest/docs/solana/speclanguage.html" TargetMode="External"/><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001" Type="http://schemas.openxmlformats.org/officeDocument/2006/relationships/hyperlink" Target="https://github.com/aave-dao/aave-v4-risk-stewards" TargetMode="External"/><Relationship Id="rId1002" Type="http://schemas.openxmlformats.org/officeDocument/2006/relationships/hyperlink" Target="https://prover.certora.com/output/7508195/06b2b77d2da84f769c7e277bc0e3ed58?anonymousKey=7db3f41040c8d54ab72991cfcc8f4f309504418d" TargetMode="External"/><Relationship Id="rId1003" Type="http://schemas.openxmlformats.org/officeDocument/2006/relationships/hyperlink" Target="https://prover.certora.com/output/7508195/06b2b77d2da84f769c7e277bc0e3ed58?anonymousKey=7db3f41040c8d54ab72991cfcc8f4f309504418d" TargetMode="External"/><Relationship Id="rId1004" Type="http://schemas.openxmlformats.org/officeDocument/2006/relationships/hyperlink" Target="https://prover.certora.com/output/7508195/06b2b77d2da84f769c7e277bc0e3ed58?anonymousKey=7db3f41040c8d54ab72991cfcc8f4f309504418d" TargetMode="External"/><Relationship Id="rId1005" Type="http://schemas.openxmlformats.org/officeDocument/2006/relationships/hyperlink" Target="https://prover.certora.com/output/7508195/06b2b77d2da84f769c7e277bc0e3ed58?anonymousKey=7db3f41040c8d54ab72991cfcc8f4f309504418d" TargetMode="External"/><Relationship Id="rId1006" Type="http://schemas.openxmlformats.org/officeDocument/2006/relationships/hyperlink" Target="https://prover.certora.com/output/7508195/06b2b77d2da84f769c7e277bc0e3ed58?anonymousKey=7db3f41040c8d54ab72991cfcc8f4f309504418d" TargetMode="External"/><Relationship Id="rId1007" Type="http://schemas.openxmlformats.org/officeDocument/2006/relationships/hyperlink" Target="https://prover.certora.com/output/7508195/06b2b77d2da84f769c7e277bc0e3ed58?anonymousKey=7db3f41040c8d54ab72991cfcc8f4f309504418d" TargetMode="External"/><Relationship Id="rId1008" Type="http://schemas.openxmlformats.org/officeDocument/2006/relationships/hyperlink" Target="https://prover.certora.com/output/7508195/06b2b77d2da84f769c7e277bc0e3ed58?anonymousKey=7db3f41040c8d54ab72991cfcc8f4f309504418d" TargetMode="External"/><Relationship Id="rId1009" Type="http://schemas.openxmlformats.org/officeDocument/2006/relationships/hyperlink" Target="https://prover.certora.com/output/7508195/06b2b77d2da84f769c7e277bc0e3ed58?anonymousKey=7db3f41040c8d54ab72991cfcc8f4f309504418d" TargetMode="External"/><Relationship Id="rId1010" Type="http://schemas.openxmlformats.org/officeDocument/2006/relationships/hyperlink" Target="https://prover.certora.com/output/7508195/06b2b77d2da84f769c7e277bc0e3ed58?anonymousKey=7db3f41040c8d54ab72991cfcc8f4f309504418d" TargetMode="External"/><Relationship Id="rId1011" Type="http://schemas.openxmlformats.org/officeDocument/2006/relationships/hyperlink" Target="https://prover.certora.com/output/7508195/06b2b77d2da84f769c7e277bc0e3ed58?anonymousKey=7db3f41040c8d54ab72991cfcc8f4f309504418d" TargetMode="External"/><Relationship Id="rId1012" Type="http://schemas.openxmlformats.org/officeDocument/2006/relationships/hyperlink" Target="https://prover.certora.com/output/7508195/06b2b77d2da84f769c7e277bc0e3ed58?anonymousKey=7db3f41040c8d54ab72991cfcc8f4f309504418d" TargetMode="External"/><Relationship Id="rId1013" Type="http://schemas.openxmlformats.org/officeDocument/2006/relationships/hyperlink" Target="https://prover.certora.com/output/7508195/06b2b77d2da84f769c7e277bc0e3ed58?anonymousKey=7db3f41040c8d54ab72991cfcc8f4f309504418d" TargetMode="External"/><Relationship Id="rId1014" Type="http://schemas.openxmlformats.org/officeDocument/2006/relationships/hyperlink" Target="https://prover.certora.com/output/7508195/06b2b77d2da84f769c7e277bc0e3ed58?anonymousKey=7db3f41040c8d54ab72991cfcc8f4f309504418d" TargetMode="External"/><Relationship Id="rId1015" Type="http://schemas.openxmlformats.org/officeDocument/2006/relationships/hyperlink" Target="https://prover.certora.com/output/7508195/4d31d5e02d7e4ce4ad7d821cd1809fc5?anonymousKey=e00dce04d1a3fc91f349e22dbe13bedaf3dc632f" TargetMode="External"/><Relationship Id="rId1016" Type="http://schemas.openxmlformats.org/officeDocument/2006/relationships/hyperlink" Target="https://prover.certora.com/output/7508195/4d31d5e02d7e4ce4ad7d821cd1809fc5?anonymousKey=e00dce04d1a3fc91f349e22dbe13bedaf3dc632f" TargetMode="External"/><Relationship Id="rId1017" Type="http://schemas.openxmlformats.org/officeDocument/2006/relationships/hyperlink" Target="https://prover.certora.com/output/7508195/4d31d5e02d7e4ce4ad7d821cd1809fc5?anonymousKey=e00dce04d1a3fc91f349e22dbe13bedaf3dc632f" TargetMode="External"/><Relationship Id="rId1018" Type="http://schemas.openxmlformats.org/officeDocument/2006/relationships/hyperlink" Target="https://prover.certora.com/output/7508195/4d31d5e02d7e4ce4ad7d821cd1809fc5?anonymousKey=e00dce04d1a3fc91f349e22dbe13bedaf3dc632f" TargetMode="External"/><Relationship Id="rId1019" Type="http://schemas.openxmlformats.org/officeDocument/2006/relationships/hyperlink" Target="https://prover.certora.com/output/7508195/7e1f11cea57d467991f23f6ec5c4adb2?anonymousKey=01623bd3a7df8a9ad88a6820f8d0b509ee0accee" TargetMode="External"/><Relationship Id="rId1020" Type="http://schemas.openxmlformats.org/officeDocument/2006/relationships/hyperlink" Target="https://prover.certora.com/output/7508195/7e1f11cea57d467991f23f6ec5c4adb2?anonymousKey=01623bd3a7df8a9ad88a6820f8d0b509ee0accee" TargetMode="External"/><Relationship Id="rId1021" Type="http://schemas.openxmlformats.org/officeDocument/2006/relationships/hyperlink" Target="https://prover.certora.com/output/7508195/7e1f11cea57d467991f23f6ec5c4adb2?anonymousKey=01623bd3a7df8a9ad88a6820f8d0b509ee0accee" TargetMode="External"/><Relationship Id="rId1022" Type="http://schemas.openxmlformats.org/officeDocument/2006/relationships/hyperlink" Target="https://prover.certora.com/output/7508195/7e1f11cea57d467991f23f6ec5c4adb2?anonymousKey=01623bd3a7df8a9ad88a6820f8d0b509ee0accee" TargetMode="External"/><Relationship Id="rId1023" Type="http://schemas.openxmlformats.org/officeDocument/2006/relationships/hyperlink" Target="https://prover.certora.com/output/7508195/7e1f11cea57d467991f23f6ec5c4adb2?anonymousKey=01623bd3a7df8a9ad88a6820f8d0b509ee0accee" TargetMode="External"/><Relationship Id="rId1024" Type="http://schemas.openxmlformats.org/officeDocument/2006/relationships/hyperlink" Target="https://prover.certora.com/output/7508195/7e1f11cea57d467991f23f6ec5c4adb2?anonymousKey=01623bd3a7df8a9ad88a6820f8d0b509ee0accee" TargetMode="External"/><Relationship Id="rId1025" Type="http://schemas.openxmlformats.org/officeDocument/2006/relationships/hyperlink" Target="https://prover.certora.com/output/7508195/7e1f11cea57d467991f23f6ec5c4adb2?anonymousKey=01623bd3a7df8a9ad88a6820f8d0b509ee0accee" TargetMode="External"/><Relationship Id="rId1026" Type="http://schemas.openxmlformats.org/officeDocument/2006/relationships/hyperlink" Target="https://prover.certora.com/output/7508195/7e1f11cea57d467991f23f6ec5c4adb2?anonymousKey=01623bd3a7df8a9ad88a6820f8d0b509ee0accee" TargetMode="External"/><Relationship Id="rId1027" Type="http://schemas.openxmlformats.org/officeDocument/2006/relationships/hyperlink" Target="https://prover.certora.com/output/7508195/7e1f11cea57d467991f23f6ec5c4adb2?anonymousKey=01623bd3a7df8a9ad88a6820f8d0b509ee0accee" TargetMode="External"/><Relationship Id="rId1028" Type="http://schemas.openxmlformats.org/officeDocument/2006/relationships/hyperlink" Target="https://prover.certora.com/output/7508195/7e1f11cea57d467991f23f6ec5c4adb2?anonymousKey=01623bd3a7df8a9ad88a6820f8d0b509ee0accee" TargetMode="External"/><Relationship Id="rId1029" Type="http://schemas.openxmlformats.org/officeDocument/2006/relationships/hyperlink" Target="https://prover.certora.com/output/7508195/7e1f11cea57d467991f23f6ec5c4adb2?anonymousKey=01623bd3a7df8a9ad88a6820f8d0b509ee0accee" TargetMode="External"/><Relationship Id="rId1030" Type="http://schemas.openxmlformats.org/officeDocument/2006/relationships/hyperlink" Target="https://prover.certora.com/output/7508195/7e1f11cea57d467991f23f6ec5c4adb2?anonymousKey=01623bd3a7df8a9ad88a6820f8d0b509ee0accee" TargetMode="External"/><Relationship Id="rId1031" Type="http://schemas.openxmlformats.org/officeDocument/2006/relationships/hyperlink" Target="https://prover.certora.com/output/7508195/7e1f11cea57d467991f23f6ec5c4adb2?anonymousKey=01623bd3a7df8a9ad88a6820f8d0b509ee0accee" TargetMode="External"/><Relationship Id="rId1032" Type="http://schemas.openxmlformats.org/officeDocument/2006/relationships/hyperlink" Target="https://prover.certora.com/output/7508195/7e1f11cea57d467991f23f6ec5c4adb2?anonymousKey=01623bd3a7df8a9ad88a6820f8d0b509ee0accee" TargetMode="External"/><Relationship Id="rId1033" Type="http://schemas.openxmlformats.org/officeDocument/2006/relationships/hyperlink" Target="https://prover.certora.com/output/7508195/7e1f11cea57d467991f23f6ec5c4adb2?anonymousKey=01623bd3a7df8a9ad88a6820f8d0b509ee0accee" TargetMode="External"/><Relationship Id="rId1034" Type="http://schemas.openxmlformats.org/officeDocument/2006/relationships/hyperlink" Target="https://prover.certora.com/output/7508195/7e1f11cea57d467991f23f6ec5c4adb2?anonymousKey=01623bd3a7df8a9ad88a6820f8d0b509ee0accee" TargetMode="External"/><Relationship Id="rId1035" Type="http://schemas.openxmlformats.org/officeDocument/2006/relationships/hyperlink" Target="https://prover.certora.com/output/7508195/7e1f11cea57d467991f23f6ec5c4adb2?anonymousKey=01623bd3a7df8a9ad88a6820f8d0b509ee0accee" TargetMode="External"/><Relationship Id="rId1036" Type="http://schemas.openxmlformats.org/officeDocument/2006/relationships/hyperlink" Target="https://prover.certora.com/output/7508195/7e1f11cea57d467991f23f6ec5c4adb2?anonymousKey=01623bd3a7df8a9ad88a6820f8d0b509ee0accee" TargetMode="External"/><Relationship Id="rId1037" Type="http://schemas.openxmlformats.org/officeDocument/2006/relationships/hyperlink" Target="https://prover.certora.com/output/7508195/7e1f11cea57d467991f23f6ec5c4adb2?anonymousKey=01623bd3a7df8a9ad88a6820f8d0b509ee0accee" TargetMode="External"/><Relationship Id="rId1038" Type="http://schemas.openxmlformats.org/officeDocument/2006/relationships/hyperlink" Target="https://prover.certora.com/output/7508195/7e1f11cea57d467991f23f6ec5c4adb2?anonymousKey=01623bd3a7df8a9ad88a6820f8d0b509ee0accee" TargetMode="External"/><Relationship Id="rId1039" Type="http://schemas.openxmlformats.org/officeDocument/2006/relationships/hyperlink" Target="https://prover.certora.com/output/7508195/58db50d375a240179edff0d061e0b5a9?anonymousKey=c09aa20483c389e91df39a38f24d639f09bdb081" TargetMode="External"/><Relationship Id="rId1040" Type="http://schemas.openxmlformats.org/officeDocument/2006/relationships/hyperlink" Target="https://prover.certora.com/output/7508195/58db50d375a240179edff0d061e0b5a9?anonymousKey=c09aa20483c389e91df39a38f24d639f09bdb081" TargetMode="External"/><Relationship Id="rId1041" Type="http://schemas.openxmlformats.org/officeDocument/2006/relationships/hyperlink" Target="https://prover.certora.com/output/7508195/58db50d375a240179edff0d061e0b5a9?anonymousKey=c09aa20483c389e91df39a38f24d639f09bdb081" TargetMode="External"/><Relationship Id="rId1042" Type="http://schemas.openxmlformats.org/officeDocument/2006/relationships/hyperlink" Target="https://prover.certora.com/output/7508195/58db50d375a240179edff0d061e0b5a9?anonymousKey=c09aa20483c389e91df39a38f24d639f09bdb081" TargetMode="External"/><Relationship Id="rId1043" Type="http://schemas.openxmlformats.org/officeDocument/2006/relationships/hyperlink" Target="https://prover.certora.com/output/7508195/58db50d375a240179edff0d061e0b5a9?anonymousKey=c09aa20483c389e91df39a38f24d639f09bdb081" TargetMode="External"/><Relationship Id="rId1044" Type="http://schemas.openxmlformats.org/officeDocument/2006/relationships/hyperlink" Target="https://prover.certora.com/output/7508195/58db50d375a240179edff0d061e0b5a9?anonymousKey=c09aa20483c389e91df39a38f24d639f09bdb081" TargetMode="External"/><Relationship Id="rId1045" Type="http://schemas.openxmlformats.org/officeDocument/2006/relationships/hyperlink" Target="https://prover.certora.com/output/7508195/58db50d375a240179edff0d061e0b5a9?anonymousKey=c09aa20483c389e91df39a38f24d639f09bdb081" TargetMode="External"/><Relationship Id="rId1046" Type="http://schemas.openxmlformats.org/officeDocument/2006/relationships/hyperlink" Target="https://prover.certora.com/output/7508195/58db50d375a240179edff0d061e0b5a9?anonymousKey=c09aa20483c389e91df39a38f24d639f09bdb081" TargetMode="External"/><Relationship Id="rId1047" Type="http://schemas.openxmlformats.org/officeDocument/2006/relationships/hyperlink" Target="https://prover.certora.com/output/7508195/58db50d375a240179edff0d061e0b5a9?anonymousKey=c09aa20483c389e91df39a38f24d639f09bdb081" TargetMode="External"/><Relationship Id="rId1048" Type="http://schemas.openxmlformats.org/officeDocument/2006/relationships/hyperlink" Target="https://prover.certora.com/output/7508195/58db50d375a240179edff0d061e0b5a9?anonymousKey=c09aa20483c389e91df39a38f24d639f09bdb081" TargetMode="External"/><Relationship Id="rId1049" Type="http://schemas.openxmlformats.org/officeDocument/2006/relationships/hyperlink" Target="https://prover.certora.com/output/7508195/58db50d375a240179edff0d061e0b5a9?anonymousKey=c09aa20483c389e91df39a38f24d639f09bdb081" TargetMode="External"/><Relationship Id="rId1050" Type="http://schemas.openxmlformats.org/officeDocument/2006/relationships/hyperlink" Target="https://prover.certora.com/output/7508195/58db50d375a240179edff0d061e0b5a9?anonymousKey=c09aa20483c389e91df39a38f24d639f09bdb081" TargetMode="External"/><Relationship Id="rId1051" Type="http://schemas.openxmlformats.org/officeDocument/2006/relationships/hyperlink" Target="https://prover.certora.com/output/7508195/58db50d375a240179edff0d061e0b5a9?anonymousKey=c09aa20483c389e91df39a38f24d639f09bdb081" TargetMode="External"/><Relationship Id="rId1052" Type="http://schemas.openxmlformats.org/officeDocument/2006/relationships/hyperlink" Target="https://prover.certora.com/output/7508195/58db50d375a240179edff0d061e0b5a9?anonymousKey=c09aa20483c389e91df39a38f24d639f09bdb081" TargetMode="External"/><Relationship Id="rId1053" Type="http://schemas.openxmlformats.org/officeDocument/2006/relationships/hyperlink" Target="https://prover.certora.com/output/7508195/58db50d375a240179edff0d061e0b5a9?anonymousKey=c09aa20483c389e91df39a38f24d639f09bdb081" TargetMode="External"/><Relationship Id="rId1054" Type="http://schemas.openxmlformats.org/officeDocument/2006/relationships/hyperlink" Target="https://prover.certora.com/output/7508195/58db50d375a240179edff0d061e0b5a9?anonymousKey=c09aa20483c389e91df39a38f24d639f09bdb081" TargetMode="External"/><Relationship Id="rId1055" Type="http://schemas.openxmlformats.org/officeDocument/2006/relationships/hyperlink" Target="https://prover.certora.com/output/7508195/ef6b5f76ab0b422b9cd107e8b014d56d?anonymousKey=0a6e7bb0646696f0ef456d9d6c82621e9c87ba96" TargetMode="External"/><Relationship Id="rId1056" Type="http://schemas.openxmlformats.org/officeDocument/2006/relationships/hyperlink" Target="https://prover.certora.com/output/7508195/ef6b5f76ab0b422b9cd107e8b014d56d?anonymousKey=0a6e7bb0646696f0ef456d9d6c82621e9c87ba96" TargetMode="External"/><Relationship Id="rId1057" Type="http://schemas.openxmlformats.org/officeDocument/2006/relationships/hyperlink" Target="https://prover.certora.com/output/7508195/ef6b5f76ab0b422b9cd107e8b014d56d?anonymousKey=0a6e7bb0646696f0ef456d9d6c82621e9c87ba96" TargetMode="External"/><Relationship Id="rId1058" Type="http://schemas.openxmlformats.org/officeDocument/2006/relationships/hyperlink" Target="https://prover.certora.com/output/7508195/ef6b5f76ab0b422b9cd107e8b014d56d?anonymousKey=0a6e7bb0646696f0ef456d9d6c82621e9c87ba96" TargetMode="External"/><Relationship Id="rId1059" Type="http://schemas.openxmlformats.org/officeDocument/2006/relationships/hyperlink" Target="https://prover.certora.com/output/7508195/ef6b5f76ab0b422b9cd107e8b014d56d?anonymousKey=0a6e7bb0646696f0ef456d9d6c82621e9c87ba96" TargetMode="External"/><Relationship Id="rId1060" Type="http://schemas.openxmlformats.org/officeDocument/2006/relationships/hyperlink" Target="https://prover.certora.com/output/7508195/ef6b5f76ab0b422b9cd107e8b014d56d?anonymousKey=0a6e7bb0646696f0ef456d9d6c82621e9c87ba96" TargetMode="External"/><Relationship Id="rId1061" Type="http://schemas.openxmlformats.org/officeDocument/2006/relationships/hyperlink" Target="https://prover.certora.com/output/7508195/a4e0db2f10464161875e9d3913ff730c?anonymousKey=bb811936e8b9e5a2f49895ae88a30c222791d8f2" TargetMode="External"/><Relationship Id="rId1062" Type="http://schemas.openxmlformats.org/officeDocument/2006/relationships/hyperlink" Target="https://prover.certora.com/output/7508195/a4e0db2f10464161875e9d3913ff730c?anonymousKey=bb811936e8b9e5a2f49895ae88a30c222791d8f2" TargetMode="External"/><Relationship Id="rId1063" Type="http://schemas.openxmlformats.org/officeDocument/2006/relationships/hyperlink" Target="https://prover.certora.com/output/7508195/a4e0db2f10464161875e9d3913ff730c?anonymousKey=bb811936e8b9e5a2f49895ae88a30c222791d8f2" TargetMode="External"/><Relationship Id="rId1064" Type="http://schemas.openxmlformats.org/officeDocument/2006/relationships/hyperlink" Target="https://prover.certora.com/output/7508195/a4e0db2f10464161875e9d3913ff730c?anonymousKey=bb811936e8b9e5a2f49895ae88a30c222791d8f2" TargetMode="External"/><Relationship Id="rId1065" Type="http://schemas.openxmlformats.org/officeDocument/2006/relationships/hyperlink" Target="https://prover.certora.com/output/7508195/79c4a6d85dda4098b0ad33e5123cabde?anonymousKey=41f44f3820eeccbf75abe1bff15b315ebcc7a406" TargetMode="External"/><Relationship Id="rId1066" Type="http://schemas.openxmlformats.org/officeDocument/2006/relationships/hyperlink" Target="https://prover.certora.com/output/7508195/bc356c09ac414051acf1ddb30b18a280?anonymousKey=ea0b5902ba49c5c511e156cf9d149756292e8ee5" TargetMode="External"/><Relationship Id="rId1067" Type="http://schemas.openxmlformats.org/officeDocument/2006/relationships/hyperlink" Target="https://prover.certora.com/output/7508195/bb04205acba54a749916c1108e096afa?anonymousKey=56b6a493dd228b6c00011470274c897e8ebbcde6" TargetMode="External"/><Relationship Id="rId1068" Type="http://schemas.openxmlformats.org/officeDocument/2006/relationships/hyperlink" Target="https://prover.certora.com/output/7508195/300c008c09fe49b097b1609a4f6407b9?anonymousKey=4e6bdee778eebd15255b7bf87b2712299780e75c" TargetMode="External"/><Relationship Id="rId1069" Type="http://schemas.openxmlformats.org/officeDocument/2006/relationships/hyperlink" Target="https://prover.certora.com/output/7508195/d54c70a87dc84bd98b8d69b4421a0870?anonymousKey=937928fd4597998be6dfb18ce23e4f358eff902c" TargetMode="External"/><Relationship Id="rId1070" Type="http://schemas.openxmlformats.org/officeDocument/2006/relationships/hyperlink" Target="https://prover.certora.com/output/7508195/1741105971774047b2ae76ab4064f392?anonymousKey=500b569f0ad3bf80621936984f812e64150d75f9" TargetMode="External"/><Relationship Id="rId1071" Type="http://schemas.openxmlformats.org/officeDocument/2006/relationships/hyperlink" Target="https://prover.certora.com/output/7508195/a4e0db2f10464161875e9d3913ff730c?anonymousKey=bb811936e8b9e5a2f49895ae88a30c222791d8f2" TargetMode="External"/><Relationship Id="rId1072" Type="http://schemas.openxmlformats.org/officeDocument/2006/relationships/hyperlink" Target="https://prover.certora.com/output/7508195/a4e0db2f10464161875e9d3913ff730c?anonymousKey=bb811936e8b9e5a2f49895ae88a30c222791d8f2" TargetMode="External"/><Relationship Id="rId1073" Type="http://schemas.openxmlformats.org/officeDocument/2006/relationships/hyperlink" Target="https://prover.certora.com/output/7508195/a4e0db2f10464161875e9d3913ff730c?anonymousKey=bb811936e8b9e5a2f49895ae88a30c222791d8f2" TargetMode="External"/><Relationship Id="rId1074" Type="http://schemas.openxmlformats.org/officeDocument/2006/relationships/hyperlink" Target="https://prover.certora.com/output/7508195/a4e0db2f10464161875e9d3913ff730c?anonymousKey=bb811936e8b9e5a2f49895ae88a30c222791d8f2" TargetMode="External"/><Relationship Id="rId1075" Type="http://schemas.openxmlformats.org/officeDocument/2006/relationships/hyperlink" Target="https://prover.certora.com/output/7508195/a4e0db2f10464161875e9d3913ff730c?anonymousKey=bb811936e8b9e5a2f49895ae88a30c222791d8f2" TargetMode="External"/><Relationship Id="rId1076" Type="http://schemas.openxmlformats.org/officeDocument/2006/relationships/hyperlink" Target="https://prover.certora.com/output/7508195/ccd611ca56f14c5185d1e14c8263b6bb?anonymousKey=a3703989d4eaa35c59b6f8ccfcbe448f39bf9a74" TargetMode="External"/><Relationship Id="rId1077" Type="http://schemas.openxmlformats.org/officeDocument/2006/relationships/hyperlink" Target="https://prover.certora.com/output/7508195/9b91c18a282b49cfb7c207e9fb59140c?anonymousKey=ff385833fde9bbdc6458926dac7be295cb5aa902" TargetMode="External"/><Relationship Id="rId1078" Type="http://schemas.openxmlformats.org/officeDocument/2006/relationships/hyperlink" Target="https://prover.certora.com/output/7508195/a4e0db2f10464161875e9d3913ff730c?anonymousKey=bb811936e8b9e5a2f49895ae88a30c222791d8f2" TargetMode="External"/><Relationship Id="rId1079" Type="http://schemas.openxmlformats.org/officeDocument/2006/relationships/hyperlink" Target="https://prover.certora.com/output/7508195/8cda305237134311bd0216b588dc50a8?anonymousKey=f291bbfa31ebd9556b7e8bf8a57716c3e1c2fc0f" TargetMode="External"/><Relationship Id="rId1080" Type="http://schemas.openxmlformats.org/officeDocument/2006/relationships/hyperlink" Target="https://prover.certora.com/output/7508195/6107a207265147b9a7ff3ba75bfdb962?anonymousKey=b71bbdfde651df85d857890d86a8f6f7bc20d012" TargetMode="External"/><Relationship Id="rId1081" Type="http://schemas.openxmlformats.org/officeDocument/2006/relationships/hyperlink" Target="https://prover.certora.com/output/7508195/3a6374ed2f814429a66017b58dc48e0a?anonymousKey=a215975f0a1810f9227f5a6e2ea980d15e13161b" TargetMode="External"/><Relationship Id="rId1082" Type="http://schemas.openxmlformats.org/officeDocument/2006/relationships/hyperlink" Target="https://prover.certora.com/output/7508195/19fcc79fbbbb46fd82272a0edc69d916?anonymousKey=45f1cd73479780e81e8b187a77da3bb6c7d7d543" TargetMode="External"/><Relationship Id="rId1083" Type="http://schemas.openxmlformats.org/officeDocument/2006/relationships/hyperlink" Target="https://prover.certora.com/output/7508195/82d8fcd9fecd4cafb521dc414dcb36e7?anonymousKey=b41c2c81e58eac834f6589a094efb83bb7ab64b2" TargetMode="External"/><Relationship Id="rId1084" Type="http://schemas.openxmlformats.org/officeDocument/2006/relationships/hyperlink" Target="https://prover.certora.com/output/7508195/039fd131157b4debbecd96bdcc4625ba?anonymousKey=dc75fac53922c880fc89c71ab15bd51bdc6b93fd" TargetMode="External"/><Relationship Id="rId1085" Type="http://schemas.openxmlformats.org/officeDocument/2006/relationships/hyperlink" Target="https://prover.certora.com/output/7508195/a4e0db2f10464161875e9d3913ff730c?anonymousKey=bb811936e8b9e5a2f49895ae88a30c222791d8f2" TargetMode="External"/><Relationship Id="rId1086" Type="http://schemas.openxmlformats.org/officeDocument/2006/relationships/hyperlink" Target="https://prover.certora.com/output/7508195/a4e0db2f10464161875e9d3913ff730c?anonymousKey=bb811936e8b9e5a2f49895ae88a30c222791d8f2" TargetMode="External"/><Relationship Id="rId1087" Type="http://schemas.openxmlformats.org/officeDocument/2006/relationships/hyperlink" Target="https://prover.certora.com/output/7508195/a4e0db2f10464161875e9d3913ff730c?anonymousKey=bb811936e8b9e5a2f49895ae88a30c222791d8f2" TargetMode="External"/><Relationship Id="rId1088" Type="http://schemas.openxmlformats.org/officeDocument/2006/relationships/hyperlink" Target="https://prover.certora.com/output/7508195/a4e0db2f10464161875e9d3913ff730c?anonymousKey=bb811936e8b9e5a2f49895ae88a30c222791d8f2" TargetMode="External"/><Relationship Id="rId1089" Type="http://schemas.openxmlformats.org/officeDocument/2006/relationships/hyperlink" Target="https://prover.certora.com/output/7508195/a4e0db2f10464161875e9d3913ff730c?anonymousKey=bb811936e8b9e5a2f49895ae88a30c222791d8f2" TargetMode="External"/><Relationship Id="rId1090" Type="http://schemas.openxmlformats.org/officeDocument/2006/relationships/hyperlink" Target="https://prover.certora.com/output/7508195/a4e0db2f10464161875e9d3913ff730c?anonymousKey=bb811936e8b9e5a2f49895ae88a30c222791d8f2" TargetMode="External"/><Relationship Id="rId1091" Type="http://schemas.openxmlformats.org/officeDocument/2006/relationships/hyperlink" Target="https://prover.certora.com/output/7508195/2ed332ede4db41a4aa7615dc35794875?anonymousKey=2d1fa7f4bb18067b705107c7253c227aff5135cf" TargetMode="External"/><Relationship Id="rId1092" Type="http://schemas.openxmlformats.org/officeDocument/2006/relationships/hyperlink" Target="https://prover.certora.com/output/7508195/9804bac061104a37912acc2453318c94?anonymousKey=8c6536f8a6948e4af7b08e147624e1924d49a364" TargetMode="External"/><Relationship Id="rId1093" Type="http://schemas.openxmlformats.org/officeDocument/2006/relationships/hyperlink" Target="https://prover.certora.com/output/7508195/9804bac061104a37912acc2453318c94?anonymousKey=8c6536f8a6948e4af7b08e147624e1924d49a364" TargetMode="External"/><Relationship Id="rId1094" Type="http://schemas.openxmlformats.org/officeDocument/2006/relationships/hyperlink" Target="https://prover.certora.com/output/7508195/095e0f4923ae4ead8ed42f2868fde37c?anonymousKey=2d82fe4dd132360529b1f6bd6d2021b3333635c4" TargetMode="External"/><Relationship Id="rId1095" Type="http://schemas.openxmlformats.org/officeDocument/2006/relationships/hyperlink" Target="https://prover.certora.com/output/7508195/51b7541fc70549be9b8f14577000f5e5?anonymousKey=62ae505fc093bf6dd1b28be0e5f0b5cf8972d114" TargetMode="External"/><Relationship Id="rId1096" Type="http://schemas.openxmlformats.org/officeDocument/2006/relationships/hyperlink" Target="https://prover.certora.com/output/7508195/9804bac061104a37912acc2453318c94?anonymousKey=8c6536f8a6948e4af7b08e147624e1924d49a364" TargetMode="External"/><Relationship Id="rId1097" Type="http://schemas.openxmlformats.org/officeDocument/2006/relationships/hyperlink" Target="https://prover.certora.com/output/7508195/9804bac061104a37912acc2453318c94?anonymousKey=8c6536f8a6948e4af7b08e147624e1924d49a364" TargetMode="External"/><Relationship Id="rId1098" Type="http://schemas.openxmlformats.org/officeDocument/2006/relationships/hyperlink" Target="https://prover.certora.com/output/7508195/9804bac061104a37912acc2453318c94?anonymousKey=8c6536f8a6948e4af7b08e147624e1924d49a364" TargetMode="External"/><Relationship Id="rId1099" Type="http://schemas.openxmlformats.org/officeDocument/2006/relationships/hyperlink" Target="https://prover.certora.com/output/7508195/9804bac061104a37912acc2453318c94?anonymousKey=8c6536f8a6948e4af7b08e147624e1924d49a364" TargetMode="External"/><Relationship Id="rId1100" Type="http://schemas.openxmlformats.org/officeDocument/2006/relationships/hyperlink" Target="https://prover.certora.com/output/7508195/9804bac061104a37912acc2453318c94?anonymousKey=8c6536f8a6948e4af7b08e147624e1924d49a364" TargetMode="External"/><Relationship Id="rId1101" Type="http://schemas.openxmlformats.org/officeDocument/2006/relationships/hyperlink" Target="https://prover.certora.com/output/7508195/9804bac061104a37912acc2453318c94?anonymousKey=8c6536f8a6948e4af7b08e147624e1924d49a364" TargetMode="External"/><Relationship Id="rId1102" Type="http://schemas.openxmlformats.org/officeDocument/2006/relationships/hyperlink" Target="https://prover.certora.com/output/7508195/9804bac061104a37912acc2453318c94?anonymousKey=8c6536f8a6948e4af7b08e147624e1924d49a364" TargetMode="External"/><Relationship Id="rId1103" Type="http://schemas.openxmlformats.org/officeDocument/2006/relationships/hyperlink" Target="https://prover.certora.com/output/7508195/ec120ffb938d47c694dec9f14b85054a?anonymousKey=973dbb0585b5e93e7a12f940057a76dfac0843ad" TargetMode="External"/><Relationship Id="rId1104" Type="http://schemas.openxmlformats.org/officeDocument/2006/relationships/hyperlink" Target="https://prover.certora.com/output/7508195/ec120ffb938d47c694dec9f14b85054a?anonymousKey=973dbb0585b5e93e7a12f940057a76dfac0843ad" TargetMode="External"/><Relationship Id="rIdUpstreamCommit" Type="http://schemas.openxmlformats.org/officeDocument/2006/relationships/hyperlink" Target="https://github.com/aave-dao/aave-v4-risk-stewards/commit/4347d1333aae43b3f9484b44e66b8ee4c2e506a7" TargetMode="External"/><Relationship Id="rIdAaveCover" Type="http://schemas.openxmlformats.org/officeDocument/2006/relationships/image" Target="media/aave-cover.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ttf"/><Relationship Id="rId22" Type="http://schemas.openxmlformats.org/officeDocument/2006/relationships/font" Target="fonts/RobotoMono-boldItalic.ttf"/><Relationship Id="rId21" Type="http://schemas.openxmlformats.org/officeDocument/2006/relationships/font" Target="fonts/RobotoMono-italic.ttf"/><Relationship Id="rId24" Type="http://schemas.openxmlformats.org/officeDocument/2006/relationships/font" Target="fonts/DMSans-bold.ttf"/><Relationship Id="rId23" Type="http://schemas.openxmlformats.org/officeDocument/2006/relationships/font" Target="fonts/DMSans-regular.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RobotoMedium-regular.ttf"/><Relationship Id="rId26" Type="http://schemas.openxmlformats.org/officeDocument/2006/relationships/font" Target="fonts/DMSans-boldItalic.ttf"/><Relationship Id="rId25" Type="http://schemas.openxmlformats.org/officeDocument/2006/relationships/font" Target="fonts/DMSans-italic.ttf"/><Relationship Id="rId27" Type="http://schemas.openxmlformats.org/officeDocument/2006/relationships/font" Target="fonts/PT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DMSansSemiBold-regular.ttf"/><Relationship Id="rId12" Type="http://schemas.openxmlformats.org/officeDocument/2006/relationships/font" Target="fonts/RobotoMedium-boldItalic.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Sora-regular.ttf"/><Relationship Id="rId16" Type="http://schemas.openxmlformats.org/officeDocument/2006/relationships/font" Target="fonts/DMSansSemiBold-boldItalic.ttf"/><Relationship Id="rId19" Type="http://schemas.openxmlformats.org/officeDocument/2006/relationships/font" Target="fonts/RobotoMono-regular.ttf"/><Relationship Id="rId18" Type="http://schemas.openxmlformats.org/officeDocument/2006/relationships/font" Target="fonts/Sora-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everity">
    <vt:lpwstr>Severity</vt:lpwstr>
  </property>
</Properties>
</file>