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REUNIFICATION SUBPROGRAMME COMPLETION REPORT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CASE NUMBER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ETF team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Start date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Completion date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Team or service that referred the family: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/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First name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Surname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Telephone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Name.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Address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Full name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Date of birth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 year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The family is referred to another service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intervention period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number of sessions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Sessions with parental figures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Sessions with children and adolescents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Risk of harm: VALÓRAME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severity rating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n-US" w:bidi="ar-SA"/>
              </w:rPr>
              <w:t xml:space="preserve">Select an option.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n-US" w:bidi="ar-SA"/>
              </w:rPr>
              <w:t xml:space="preserve">Select an option.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 xml:space="preserve">Physical abuse</w:t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Psychological or emotional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Neglect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Abandonment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Sexual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Parental inability to control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Prenatal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Corruption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Inadequate parental attitudes and expectations AAPI-2.5</w:t>
            </w:r>
          </w:p>
        </w:tc>
      </w:tr>
      <w:tr>
        <w:trPr/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Inadequate expectations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Lack of empathy for children’s needs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Beliefs about the use and value of corporal punishment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Reversed roles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Restriction of autonomy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Family functioning SCORE 15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Strengths and adaptation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Worry or distress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Communication difficulties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family functioning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 and adolescent adjustment SDQ – self-report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 and adolescent adjustment SDQ – parent-report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Professional alliance SOATIF – family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professional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Professional alliance SOATIF – professional version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Overall therapeutic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Satisfaction with the intervention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INITIAL ASSESSMENT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INTERIM ASSESSMENT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FINAL ASSESSMENT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Parental figures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Children and adolescents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Score.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Additional assessment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Disability assessment and guidance centres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ituloantesdetabla"/>
        <w:rPr/>
      </w:pPr>
      <w:r>
        <w:rPr/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Objectives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Achievement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Worked on with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Actions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Objectives in progress or unresolved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Support needed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Referral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(RE1) Create the conditions for reunification with the involvement of all relevant people, organisations and services.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(RE2) Reduce or remove the issues that led to the protective measure and ensure a safe, supportive family environment free from violence.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(RE3) Develop the skills needed for positive, responsible parenting by the people who will take on the parental role.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(RE4) Promote and improve children’s wellbeing and healthy development.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(RE5) Support the child’s transition and adjustment to their new family, school and social environment.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 xml:space="preserve"/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zh-CN" w:bidi="hi-IN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zh-CN" w:bidi="hi-IN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zh-CN" w:bidi="hi-IN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US" w:eastAsia="de-DE" w:bidi="en-U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zh-CN" w:bidi="hi-IN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zh-CN" w:bidi="hi-IN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_tradnl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hi-IN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s-ES" w:eastAsia="en-US" w:bidi="ar-SA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ar-SA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_tradnl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