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'1.0' encoding='UTF-8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mc:Ignorable="w14 wp14">
  <w:body>
    <w:p>
      <w:pPr>
        <w:outlineLvl w:val="0"/>
        <w:pStyle w:val="ETFRevision0NoSpacing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Tabla Mensual para el SPAF</w:t>
      </w:r>
    </w:p>
    <w:p>
      <w:pPr>
        <w:outlineLvl w:val="1"/>
        <w:pStyle w:val="ETFRevision1NoSpacing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INDICADORES SEGUIMIENTO DEL EQUIPO DE TRATAMIENTO FAMILIAR</w:t>
      </w:r>
    </w:p>
    <w:tbl>
      <w:tblPr>
        <w:tblW w:w="394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0"/>
        <w:gridCol w:w="2749"/>
      </w:tblGrid>
      <w:tr>
        <w:trPr>
          <w:trHeight w:val="349" w:hRule="atLeast"/>
        </w:trPr>
        <w:tc>
          <w:tcPr>
            <w:tcW w:w="1200" w:type="dxa"/>
            <w:vAlign w:val="center"/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ETF nº</w:t>
            </w:r>
          </w:p>
        </w:tc>
        <w:tc>
          <w:tcPr>
            <w:tcW w:w="2749" w:type="dxa"/>
            <w:vAlign w:val="center"/>
            <w:tcBorders>
              <w:bottom w:val="single" w:sz="4"/>
              <w:right w:val="single" w:sz="4"/>
            </w:tcBorders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{{equipo}}</w:t>
            </w:r>
          </w:p>
        </w:tc>
      </w:tr>
    </w:tbl>
    <w:tbl>
      <w:tblPr>
        <w:tblW w:w="7198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0"/>
        <w:gridCol w:w="2749"/>
        <w:gridCol w:w="1000"/>
        <w:gridCol w:w="2749"/>
      </w:tblGrid>
      <w:tr>
        <w:trPr>
          <w:trHeight w:val="349" w:hRule="atLeast"/>
        </w:trPr>
        <w:tc>
          <w:tcPr>
            <w:tcW w:w="700" w:type="dxa"/>
            <w:vAlign w:val="center"/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Mes</w:t>
            </w:r>
          </w:p>
        </w:tc>
        <w:tc>
          <w:tcPr>
            <w:tcW w:w="2749" w:type="dxa"/>
            <w:vAlign w:val="center"/>
            <w:tcBorders>
              <w:bottom w:val="single" w:sz="4"/>
              <w:right w:val="single" w:sz="4"/>
            </w:tcBorders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{{mes}}</w:t>
            </w:r>
          </w:p>
        </w:tc>
        <w:tc>
          <w:tcPr>
            <w:tcW w:w="1000" w:type="dxa"/>
            <w:vAlign w:val="center"/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Año</w:t>
            </w:r>
          </w:p>
        </w:tc>
        <w:tc>
          <w:tcPr>
            <w:tcW w:w="2749" w:type="dxa"/>
            <w:vAlign w:val="center"/>
            <w:tcBorders>
              <w:bottom w:val="single" w:sz="4"/>
              <w:right w:val="single" w:sz="4"/>
            </w:tcBorders>
          </w:tcPr>
          <w:p>
            <w:pPr>
              <w:pStyle w:val="NoSpacing"/>
              <w:jc w:val="center"/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{{anio}}</w:t>
            </w:r>
          </w:p>
        </w:tc>
      </w:tr>
    </w:tbl>
    <w:p>
      <w:pPr>
        <w:pStyle w:val="NoSpacing"/>
        <w:jc w:val="both"/>
        <w:rPr/>
      </w:pPr>
      <w:r>
        <w:rPr/>
      </w:r>
    </w:p>
    <w:p>
      <w:pPr>
        <w:pStyle w:val="NoSpacing"/>
        <w:jc w:val="right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Spacing"/>
        <w:jc w:val="right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outlineLvl w:val="1"/>
        <w:pStyle w:val="ETFRevision1NoSpacing"/>
        <w:jc w:val="right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0"/>
          <w:szCs w:val="20"/>
        </w:rPr>
      </w:pPr>
      <w:r>
        <w:rPr>
          <w:rFonts w:ascii="Arial" w:hAnsi="Arial"/>
          <w:b w:val="false"/>
          <w:bCs w:val="false"/>
          <w:i w:val="false"/>
          <w:iCs w:val="false"/>
          <w:sz w:val="20"/>
          <w:szCs w:val="20"/>
        </w:rPr>
        <w:t>DELEGACIÓN TERRITORIAL DE INCLUSIÓN SOCIAL, JUVENTUD, FAMILIAS E IGUALDAD</w:t>
      </w:r>
    </w:p>
    <w:p>
      <w:pPr>
        <w:pStyle w:val="NoSpacing"/>
        <w:jc w:val="right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0"/>
          <w:szCs w:val="20"/>
        </w:rPr>
      </w:pPr>
      <w:r>
        <w:rPr>
          <w:rFonts w:eastAsia="Microsoft YaHei" w:cs="Arial Narrow" w:ascii="Arial" w:hAnsi="Arial"/>
          <w:b w:val="false"/>
          <w:bCs w:val="false"/>
          <w:i w:val="false"/>
          <w:iCs w:val="false"/>
          <w:kern w:val="2"/>
          <w:sz w:val="20"/>
          <w:szCs w:val="20"/>
          <w:lang w:bidi="es-ES" w:val="es-ES"/>
        </w:rPr>
        <w:tab/>
        <w:tab/>
        <w:tab/>
        <w:tab/>
        <w:tab/>
        <w:tab/>
        <w:tab/>
        <w:t xml:space="preserve">                   Servicio de Prevención y Apoyo a la Familia</w:t>
      </w:r>
    </w:p>
    <w:p>
      <w:pPr>
        <w:pStyle w:val="NoSpacing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Spacing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tbl>
      <w:tblPr>
        <w:tblW w:w="1515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82"/>
        <w:gridCol w:w="1082"/>
        <w:gridCol w:w="617"/>
        <w:gridCol w:w="1547"/>
        <w:gridCol w:w="1082"/>
        <w:gridCol w:w="1082"/>
        <w:gridCol w:w="1083"/>
        <w:gridCol w:w="1082"/>
        <w:gridCol w:w="1082"/>
        <w:gridCol w:w="1082"/>
        <w:gridCol w:w="970"/>
        <w:gridCol w:w="1194"/>
        <w:gridCol w:w="1183"/>
        <w:gridCol w:w="981"/>
      </w:tblGrid>
      <w:tr>
        <w:trPr>
          <w:tblHeader/>
        </w:trPr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Número de Expediente de ETF (1)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Apellidos , Nombre y Fecha de Nacieminto de los menores 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(2)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N.º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(3)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Guardadores / Parentesco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(4)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Municipio / ZTS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(5)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Características de la Familia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(6)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Anexo Derivaciones / Fecha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(7)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Servicio Derivante</w:t>
            </w:r>
          </w:p>
          <w:p>
            <w:pPr>
              <w:pStyle w:val="NoSpacing"/>
              <w:widowControl w:val="false"/>
              <w:rPr>
                <w:rFonts w:ascii="Calibri" w:hAnsi="Calibri"/>
                <w:b/>
                <w:b/>
                <w:bCs/>
                <w:sz w:val="22"/>
                <w:szCs w:val="22"/>
              </w:rPr>
            </w:pPr>
            <w:r>
              <w:rPr>
                <w:rFonts w:cs="Arial Narrow"/>
                <w:b/>
                <w:bCs/>
                <w:sz w:val="22"/>
                <w:szCs w:val="22"/>
              </w:rPr>
              <w:t>(Coord. del caso)</w:t>
            </w:r>
          </w:p>
          <w:p>
            <w:pPr>
              <w:pStyle w:val="NoSpacing"/>
              <w:widowControl w:val="false"/>
              <w:rPr>
                <w:rFonts w:ascii="Calibri" w:hAnsi="Calibri"/>
                <w:b/>
                <w:b/>
                <w:bCs/>
                <w:sz w:val="22"/>
                <w:szCs w:val="22"/>
              </w:rPr>
            </w:pPr>
            <w:r>
              <w:rPr>
                <w:rFonts w:cs="Arial Narrow"/>
                <w:b/>
                <w:bCs/>
                <w:sz w:val="22"/>
                <w:szCs w:val="22"/>
              </w:rPr>
              <w:t>(8)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Fecha de los Anexos (2L, 2M, 2O)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(9)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Fase de Intervención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(10)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T.P.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(11)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Finalidad / Pronóstico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(12)</w:t>
            </w:r>
          </w:p>
        </w:tc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Instrumentos de Evaluación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(13)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Fecha Cierre / Motivo</w:t>
            </w:r>
          </w:p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(14)</w:t>
            </w:r>
          </w:p>
        </w:tc>
      </w:tr>
      <w:tr>
        <w:trPr/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{{#casos_spaf}}{{numero}}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{{menores}}</w:t>
            </w:r>
          </w:p>
        </w:tc>
        <w:tc>
          <w:tcPr>
            <w:tcW w:w="61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{{numero_menores}}</w:t>
            </w:r>
          </w:p>
        </w:tc>
        <w:tc>
          <w:tcPr>
            <w:tcW w:w="154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{{guardadores}}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{{municipio_zts}}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{{caracteristicas}}</w:t>
            </w:r>
          </w:p>
        </w:tc>
        <w:tc>
          <w:tcPr>
            <w:tcW w:w="10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{{derivacion}}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{{servicio}}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{{fechas}}</w:t>
            </w:r>
          </w:p>
        </w:tc>
        <w:tc>
          <w:tcPr>
            <w:tcW w:w="108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{{fase}}</w:t>
            </w:r>
          </w:p>
        </w:tc>
        <w:tc>
          <w:tcPr>
            <w:tcW w:w="9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{{temporalizacion}}</w:t>
            </w:r>
          </w:p>
        </w:tc>
        <w:tc>
          <w:tcPr>
            <w:tcW w:w="11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{{finalidad_pronostico}}</w:t>
            </w:r>
          </w:p>
        </w:tc>
        <w:tc>
          <w:tcPr>
            <w:tcW w:w="11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{{instrumentos}}</w:t>
            </w:r>
          </w:p>
        </w:tc>
        <w:tc>
          <w:tcPr>
            <w:tcW w:w="9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{{cierres}}{{/casos_spaf}}</w:t>
            </w:r>
          </w:p>
        </w:tc>
      </w:tr>
    </w:tbl>
    <w:p>
      <w:pPr>
        <w:pStyle w:val="NoSpacing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left="0" w:right="0" w:hanging="0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left="0" w:right="0" w:hanging="0"/>
        <w:jc w:val="both"/>
        <w:rPr>
          <w:rFonts w:ascii="Arial" w:hAnsi="Arial"/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/>
          <w:bCs/>
          <w:i w:val="false"/>
          <w:iCs w:val="false"/>
          <w:sz w:val="24"/>
          <w:szCs w:val="24"/>
        </w:rPr>
        <w:t>Resumen de este mes</w:t>
      </w:r>
    </w:p>
    <w:tbl>
      <w:tblPr>
        <w:tblW w:w="15116" w:type="dxa"/>
        <w:jc w:val="righ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750"/>
        <w:gridCol w:w="3795"/>
        <w:gridCol w:w="3785"/>
        <w:gridCol w:w="3785"/>
      </w:tblGrid>
      <w:tr>
        <w:trPr>
          <w:tblHeader/>
        </w:trPr>
        <w:tc>
          <w:tcPr>
            <w:tcW w:w="3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Nº de Altas </w:t>
            </w:r>
            <w:r>
              <w:rPr>
                <w:b/>
                <w:bCs/>
              </w:rPr>
              <w:t>(15)</w:t>
            </w:r>
          </w:p>
        </w:tc>
        <w:tc>
          <w:tcPr>
            <w:tcW w:w="3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Nº  de Bajas </w:t>
            </w:r>
            <w:r>
              <w:rPr>
                <w:b/>
                <w:bCs/>
              </w:rPr>
              <w:t>(16)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Nº Total de casos </w:t>
            </w:r>
            <w:r>
              <w:rPr>
                <w:b/>
                <w:bCs/>
              </w:rPr>
              <w:t>(17)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ECF00" w:val="clear"/>
          </w:tcPr>
          <w:p>
            <w:pPr>
              <w:pStyle w:val="NoSpacing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 xml:space="preserve">Nº  Total de menores </w:t>
            </w:r>
            <w:r>
              <w:rPr>
                <w:b/>
                <w:bCs/>
              </w:rPr>
              <w:t>(18)</w:t>
            </w:r>
          </w:p>
        </w:tc>
      </w:tr>
      <w:tr>
        <w:trPr/>
        <w:tc>
          <w:tcPr>
            <w:tcW w:w="375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{{altas}}</w:t>
            </w:r>
          </w:p>
        </w:tc>
        <w:tc>
          <w:tcPr>
            <w:tcW w:w="37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{{bajas}}</w:t>
            </w:r>
          </w:p>
        </w:tc>
        <w:tc>
          <w:tcPr>
            <w:tcW w:w="3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{{casos}}</w:t>
            </w:r>
          </w:p>
        </w:tc>
        <w:tc>
          <w:tcPr>
            <w:tcW w:w="37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/>
            </w:pPr>
            <w:r>
              <w:rPr/>
            </w:r>
            <w:r>
              <w:t>{{menores}}</w:t>
            </w:r>
          </w:p>
        </w:tc>
      </w:tr>
    </w:tbl>
    <w:p>
      <w:pPr>
        <w:pStyle w:val="Normal"/>
        <w:widowControl/>
        <w:bidi w:val="0"/>
        <w:spacing w:lineRule="auto" w:line="240" w:before="0" w:after="0"/>
        <w:ind w:left="0" w:right="0" w:hanging="0"/>
        <w:jc w:val="both"/>
        <w:rPr>
          <w:rFonts w:ascii="Arial" w:hAnsi="Arial"/>
          <w:b w:val="false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Spacing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  <w:r>
        <w:br w:type="page"/>
      </w:r>
    </w:p>
    <w:p>
      <w:pPr>
        <w:pStyle w:val="NoSpacing"/>
        <w:rPr>
          <w:rFonts w:ascii="Calibri" w:hAnsi="Calibri"/>
        </w:rPr>
      </w:pPr>
      <w:r>
        <w:rPr>
          <w:b/>
          <w:bCs/>
          <w:sz w:val="18"/>
          <w:szCs w:val="18"/>
        </w:rPr>
        <w:t>Instrucciones: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(1)</w:t>
      </w:r>
      <w:r>
        <w:rPr>
          <w:rFonts w:cs="Arial Narrow"/>
          <w:sz w:val="18"/>
          <w:szCs w:val="18"/>
        </w:rPr>
        <w:t xml:space="preserve">. </w:t>
      </w:r>
      <w:r>
        <w:rPr>
          <w:rFonts w:cs="Arial Narrow"/>
          <w:b/>
          <w:bCs/>
          <w:sz w:val="18"/>
          <w:szCs w:val="18"/>
        </w:rPr>
        <w:t xml:space="preserve">Nº Exp.: </w:t>
      </w:r>
      <w:r>
        <w:rPr>
          <w:rFonts w:cs="Arial Narrow"/>
          <w:sz w:val="18"/>
          <w:szCs w:val="18"/>
        </w:rPr>
        <w:t>Número de expediente asignado al caso en cada ETF.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(2)</w:t>
      </w:r>
      <w:r>
        <w:rPr>
          <w:rFonts w:cs="Arial Narrow"/>
          <w:sz w:val="18"/>
          <w:szCs w:val="18"/>
        </w:rPr>
        <w:t xml:space="preserve">. </w:t>
      </w:r>
      <w:r>
        <w:rPr>
          <w:rFonts w:cs="Arial Narrow"/>
          <w:b/>
          <w:bCs/>
          <w:sz w:val="18"/>
          <w:szCs w:val="18"/>
        </w:rPr>
        <w:t>Apellidos, Nombre, Fecha de nacimiento</w:t>
      </w:r>
      <w:r>
        <w:rPr>
          <w:rFonts w:cs="Arial Narrow"/>
          <w:sz w:val="18"/>
          <w:szCs w:val="18"/>
        </w:rPr>
        <w:t>: Apellidos, nombre y fecha de nacimiento de cada uno de los menores del expediente.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(3).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 xml:space="preserve">Nº: </w:t>
      </w:r>
      <w:r>
        <w:rPr>
          <w:rFonts w:cs="Arial Narrow"/>
          <w:sz w:val="18"/>
          <w:szCs w:val="18"/>
        </w:rPr>
        <w:t>Número de menores del expediente.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(4).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>Guardadores / Parentesco</w:t>
      </w:r>
      <w:r>
        <w:rPr>
          <w:rFonts w:cs="Arial Narrow"/>
          <w:sz w:val="18"/>
          <w:szCs w:val="18"/>
        </w:rPr>
        <w:t xml:space="preserve"> : Nombre de las personas que tienen la guarda y parentesco de los menores. Si se encuentran en Centros de Protección, reflejar cuales.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(5)</w:t>
      </w:r>
      <w:r>
        <w:rPr>
          <w:rFonts w:cs="Arial Narrow"/>
          <w:sz w:val="18"/>
          <w:szCs w:val="18"/>
        </w:rPr>
        <w:t xml:space="preserve">. </w:t>
      </w:r>
      <w:r>
        <w:rPr>
          <w:rFonts w:cs="Arial Narrow"/>
          <w:b/>
          <w:bCs/>
          <w:sz w:val="18"/>
          <w:szCs w:val="18"/>
        </w:rPr>
        <w:t>Municipio / ZTS</w:t>
      </w:r>
      <w:r>
        <w:rPr>
          <w:rFonts w:cs="Arial Narrow"/>
          <w:sz w:val="18"/>
          <w:szCs w:val="18"/>
        </w:rPr>
        <w:t>: Municipio al que pertenece la familia del expediente y Zona de Trabajo Social (ZTS).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(6).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>Características de la familia</w:t>
      </w:r>
      <w:r>
        <w:rPr>
          <w:rFonts w:cs="Arial Narrow"/>
          <w:sz w:val="18"/>
          <w:szCs w:val="18"/>
        </w:rPr>
        <w:t xml:space="preserve">: Características de la familia susceptible del programa.   </w:t>
      </w:r>
      <w:r>
        <w:rPr>
          <w:rFonts w:cs="Arial Narrow"/>
          <w:b w:val="false"/>
          <w:bCs w:val="false"/>
          <w:sz w:val="18"/>
          <w:szCs w:val="18"/>
        </w:rPr>
        <w:t>Posibilidades de respuesta</w:t>
      </w:r>
      <w:r>
        <w:rPr>
          <w:rFonts w:cs="Arial Narrow"/>
          <w:b w:val="false"/>
          <w:bCs w:val="false"/>
          <w:i/>
          <w:iCs/>
          <w:sz w:val="18"/>
          <w:szCs w:val="18"/>
        </w:rPr>
        <w:t xml:space="preserve">: </w:t>
      </w:r>
      <w:r>
        <w:rPr>
          <w:rFonts w:cs="Arial Narrow"/>
          <w:sz w:val="18"/>
          <w:szCs w:val="18"/>
        </w:rPr>
        <w:t>(no excluyentes)</w:t>
      </w:r>
    </w:p>
    <w:p>
      <w:pPr>
        <w:pStyle w:val="NoSpacing"/>
        <w:widowControl/>
        <w:numPr>
          <w:ilvl w:val="0"/>
          <w:numId w:val="1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Riesgo social.</w:t>
      </w:r>
    </w:p>
    <w:p>
      <w:pPr>
        <w:pStyle w:val="NoSpacing"/>
        <w:widowControl/>
        <w:numPr>
          <w:ilvl w:val="0"/>
          <w:numId w:val="1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Monoparental.</w:t>
      </w:r>
    </w:p>
    <w:p>
      <w:pPr>
        <w:pStyle w:val="NoSpacing"/>
        <w:widowControl/>
        <w:numPr>
          <w:ilvl w:val="0"/>
          <w:numId w:val="1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Violencia Intrafamiliar.</w:t>
      </w:r>
    </w:p>
    <w:p>
      <w:pPr>
        <w:pStyle w:val="NoSpacing"/>
        <w:widowControl/>
        <w:numPr>
          <w:ilvl w:val="0"/>
          <w:numId w:val="1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Con Menores bajo el Sistema de Protección.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(7).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 xml:space="preserve">Anexo Derivación / fecha: </w:t>
      </w:r>
      <w:r>
        <w:rPr>
          <w:rFonts w:cs="Arial Narrow"/>
          <w:sz w:val="18"/>
          <w:szCs w:val="18"/>
        </w:rPr>
        <w:t xml:space="preserve">Anexo de derivación y fecha del mismo. </w:t>
      </w:r>
      <w:r>
        <w:rPr>
          <w:rFonts w:cs="Arial Narrow"/>
          <w:b w:val="false"/>
          <w:bCs w:val="false"/>
          <w:sz w:val="18"/>
          <w:szCs w:val="18"/>
        </w:rPr>
        <w:t xml:space="preserve">Posibilidades: </w:t>
      </w:r>
    </w:p>
    <w:p>
      <w:pPr>
        <w:pStyle w:val="NoSpacing"/>
        <w:numPr>
          <w:ilvl w:val="0"/>
          <w:numId w:val="8"/>
        </w:numPr>
        <w:rPr>
          <w:i w:val="false"/>
          <w:i w:val="false"/>
          <w:iCs w:val="false"/>
        </w:rPr>
      </w:pPr>
      <w:r>
        <w:rPr>
          <w:rFonts w:cs="Arial Narrow"/>
          <w:i w:val="false"/>
          <w:iCs w:val="false"/>
          <w:sz w:val="18"/>
          <w:szCs w:val="18"/>
        </w:rPr>
        <w:t>Anexo 3 (Derivación de SSCC a ETF).</w:t>
      </w:r>
    </w:p>
    <w:p>
      <w:pPr>
        <w:pStyle w:val="NoSpacing"/>
        <w:numPr>
          <w:ilvl w:val="0"/>
          <w:numId w:val="8"/>
        </w:numPr>
        <w:rPr>
          <w:i w:val="false"/>
          <w:i w:val="false"/>
          <w:iCs w:val="false"/>
        </w:rPr>
      </w:pPr>
      <w:r>
        <w:rPr>
          <w:rFonts w:cs="Arial Narrow"/>
          <w:i w:val="false"/>
          <w:iCs w:val="false"/>
          <w:sz w:val="18"/>
          <w:szCs w:val="18"/>
        </w:rPr>
        <w:t>Anexo 4 (Derivación de SPM a ETF).</w:t>
      </w:r>
    </w:p>
    <w:p>
      <w:pPr>
        <w:pStyle w:val="NoSpacing"/>
        <w:numPr>
          <w:ilvl w:val="0"/>
          <w:numId w:val="8"/>
        </w:numPr>
        <w:rPr>
          <w:i w:val="false"/>
          <w:i w:val="false"/>
          <w:iCs w:val="false"/>
        </w:rPr>
      </w:pPr>
      <w:r>
        <w:rPr>
          <w:rFonts w:cs="Arial Narrow"/>
          <w:i w:val="false"/>
          <w:iCs w:val="false"/>
          <w:sz w:val="18"/>
          <w:szCs w:val="18"/>
        </w:rPr>
        <w:t>Anexo 5 (Derivación de ETF a SPM).</w:t>
      </w:r>
    </w:p>
    <w:p>
      <w:pPr>
        <w:pStyle w:val="NoSpacing"/>
        <w:numPr>
          <w:ilvl w:val="0"/>
          <w:numId w:val="8"/>
        </w:numPr>
        <w:rPr>
          <w:i w:val="false"/>
          <w:i w:val="false"/>
          <w:iCs w:val="false"/>
        </w:rPr>
      </w:pPr>
      <w:r>
        <w:rPr>
          <w:rFonts w:cs="Arial Narrow"/>
          <w:i w:val="false"/>
          <w:iCs w:val="false"/>
          <w:sz w:val="18"/>
          <w:szCs w:val="18"/>
        </w:rPr>
        <w:t>Anexo 6 (Derivación de ETF a Otro Servicio).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(8).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 xml:space="preserve">Servicio Derivante (Coord. del caso): </w:t>
      </w:r>
      <w:r>
        <w:rPr>
          <w:rFonts w:cs="Arial Narrow"/>
          <w:sz w:val="18"/>
          <w:szCs w:val="18"/>
        </w:rPr>
        <w:t xml:space="preserve">Servicio Derivante y Coordinador/a responsable del caso en el mismo tanto en SS.SS. como en SPM. </w:t>
      </w:r>
      <w:r>
        <w:rPr>
          <w:rFonts w:cs="Arial Narrow"/>
          <w:b w:val="false"/>
          <w:bCs w:val="false"/>
          <w:sz w:val="18"/>
          <w:szCs w:val="18"/>
        </w:rPr>
        <w:t>Posibilidades:</w:t>
      </w:r>
      <w:r>
        <w:rPr>
          <w:rFonts w:cs="Arial Narrow"/>
          <w:sz w:val="18"/>
          <w:szCs w:val="18"/>
        </w:rPr>
        <w:t xml:space="preserve"> </w:t>
      </w:r>
    </w:p>
    <w:p>
      <w:pPr>
        <w:pStyle w:val="NoSpacing"/>
        <w:widowControl/>
        <w:numPr>
          <w:ilvl w:val="0"/>
          <w:numId w:val="2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 xml:space="preserve">Servicio de Protección de Menores. </w:t>
      </w:r>
    </w:p>
    <w:p>
      <w:pPr>
        <w:pStyle w:val="NoSpacing"/>
        <w:widowControl/>
        <w:numPr>
          <w:ilvl w:val="0"/>
          <w:numId w:val="2"/>
        </w:numPr>
        <w:bidi w:val="0"/>
        <w:spacing w:lineRule="auto" w:line="240" w:before="0" w:after="0"/>
        <w:ind w:left="737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Servicios Sociales Comunitarios.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(9).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>Fecha Anexos:</w:t>
      </w:r>
    </w:p>
    <w:p>
      <w:pPr>
        <w:pStyle w:val="NoSpacing"/>
        <w:numPr>
          <w:ilvl w:val="0"/>
          <w:numId w:val="9"/>
        </w:numPr>
        <w:rPr>
          <w:b w:val="false"/>
          <w:b w:val="false"/>
          <w:bCs w:val="false"/>
        </w:rPr>
      </w:pPr>
      <w:r>
        <w:rPr>
          <w:rFonts w:cs="Arial Narrow"/>
          <w:b w:val="false"/>
          <w:bCs w:val="false"/>
          <w:sz w:val="18"/>
          <w:szCs w:val="18"/>
        </w:rPr>
        <w:t>Acta de Aceptación.</w:t>
      </w:r>
    </w:p>
    <w:p>
      <w:pPr>
        <w:pStyle w:val="NoSpacing"/>
        <w:numPr>
          <w:ilvl w:val="0"/>
          <w:numId w:val="9"/>
        </w:numPr>
        <w:rPr>
          <w:b w:val="false"/>
          <w:b w:val="false"/>
          <w:bCs w:val="false"/>
        </w:rPr>
      </w:pPr>
      <w:r>
        <w:rPr>
          <w:rFonts w:cs="Arial Narrow"/>
          <w:b w:val="false"/>
          <w:bCs w:val="false"/>
          <w:sz w:val="18"/>
          <w:szCs w:val="18"/>
        </w:rPr>
        <w:t>Anexo 1 - (Consentimiento Informado - SubPrograma Riesgo).</w:t>
      </w:r>
    </w:p>
    <w:p>
      <w:pPr>
        <w:pStyle w:val="NoSpacing"/>
        <w:numPr>
          <w:ilvl w:val="0"/>
          <w:numId w:val="9"/>
        </w:numPr>
        <w:rPr>
          <w:b w:val="false"/>
          <w:b w:val="false"/>
          <w:bCs w:val="false"/>
        </w:rPr>
      </w:pPr>
      <w:r>
        <w:rPr>
          <w:rFonts w:cs="Arial Narrow"/>
          <w:b w:val="false"/>
          <w:bCs w:val="false"/>
          <w:sz w:val="18"/>
          <w:szCs w:val="18"/>
        </w:rPr>
        <w:t>Anexo 2 - (Consentimiento Informado - SubPrograma Reintegración).</w:t>
      </w:r>
    </w:p>
    <w:p>
      <w:pPr>
        <w:pStyle w:val="NoSpacing"/>
        <w:numPr>
          <w:ilvl w:val="0"/>
          <w:numId w:val="9"/>
        </w:numPr>
        <w:rPr>
          <w:b w:val="false"/>
          <w:b w:val="false"/>
          <w:bCs w:val="false"/>
        </w:rPr>
      </w:pPr>
      <w:r>
        <w:rPr>
          <w:rFonts w:cs="Arial Narrow"/>
          <w:b w:val="false"/>
          <w:bCs w:val="false"/>
          <w:sz w:val="18"/>
          <w:szCs w:val="18"/>
        </w:rPr>
        <w:t>Anexo 7 (Proyecto de Intervención - SubPrograma Riesgo).</w:t>
      </w:r>
    </w:p>
    <w:p>
      <w:pPr>
        <w:pStyle w:val="NoSpacing"/>
        <w:numPr>
          <w:ilvl w:val="0"/>
          <w:numId w:val="9"/>
        </w:numPr>
        <w:rPr>
          <w:b w:val="false"/>
          <w:b w:val="false"/>
          <w:bCs w:val="false"/>
        </w:rPr>
      </w:pPr>
      <w:r>
        <w:rPr>
          <w:rFonts w:cs="Arial Narrow"/>
          <w:b w:val="false"/>
          <w:bCs w:val="false"/>
          <w:sz w:val="18"/>
          <w:szCs w:val="18"/>
        </w:rPr>
        <w:t>Anexo 8 (Proyecto de Intervención - SubPrograma Reintegración).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sz w:val="18"/>
          <w:szCs w:val="18"/>
        </w:rPr>
        <w:t>Según la fase en la que se encuentre el caso deben estar los  anexos correspondientes en los expedientes.</w:t>
      </w:r>
    </w:p>
    <w:p>
      <w:pPr>
        <w:pStyle w:val="NoSpacing"/>
        <w:rPr>
          <w:rFonts w:cs="Arial Narrow"/>
        </w:rPr>
      </w:pPr>
      <w:r>
        <w:rPr>
          <w:rFonts w:cs="Arial Narrow"/>
        </w:rPr>
      </w:r>
    </w:p>
    <w:p>
      <w:pPr>
        <w:pStyle w:val="NoSpacing"/>
        <w:rPr>
          <w:rFonts w:cs="Arial Narrow"/>
        </w:rPr>
      </w:pPr>
      <w:r>
        <w:rPr>
          <w:rFonts w:cs="Arial Narrow"/>
          <w:b/>
          <w:bCs/>
          <w:sz w:val="18"/>
          <w:szCs w:val="18"/>
        </w:rPr>
        <w:t>(10).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>Fa</w:t>
      </w:r>
      <w:r>
        <w:rPr>
          <w:rFonts w:cs="Arial Narrow"/>
          <w:b/>
          <w:bCs/>
          <w:sz w:val="18"/>
          <w:szCs w:val="18"/>
          <w:shd w:fill="auto" w:val="clear"/>
        </w:rPr>
        <w:t xml:space="preserve">se Intervención.: </w:t>
      </w:r>
      <w:r>
        <w:rPr>
          <w:rFonts w:cs="Arial Narrow"/>
          <w:sz w:val="18"/>
          <w:szCs w:val="18"/>
          <w:shd w:fill="auto" w:val="clear"/>
        </w:rPr>
        <w:t xml:space="preserve">Fase en la que se encuentra la Intervención. </w:t>
      </w:r>
      <w:r>
        <w:rPr>
          <w:rFonts w:cs="Arial Narrow"/>
          <w:b w:val="false"/>
          <w:bCs w:val="false"/>
          <w:sz w:val="18"/>
          <w:szCs w:val="18"/>
          <w:shd w:fill="auto" w:val="clear"/>
        </w:rPr>
        <w:t>Posibilidades:</w:t>
      </w:r>
    </w:p>
    <w:p>
      <w:pPr>
        <w:pStyle w:val="Textopreformateado"/>
        <w:widowControl/>
        <w:numPr>
          <w:ilvl w:val="0"/>
          <w:numId w:val="0"/>
        </w:numPr>
        <w:bidi w:val="0"/>
        <w:spacing w:lineRule="auto" w:line="240" w:before="0" w:after="0"/>
        <w:ind w:right="0" w:hanging="0"/>
        <w:jc w:val="left"/>
        <w:rPr>
          <w:rFonts w:ascii="Arial" w:hAnsi="Arial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 w:ascii="Arial" w:hAnsi="Arial"/>
          <w:b/>
          <w:bCs/>
          <w:i w:val="false"/>
          <w:iCs w:val="false"/>
          <w:sz w:val="18"/>
          <w:szCs w:val="18"/>
          <w:shd w:fill="auto" w:val="clear"/>
        </w:rPr>
        <w:t xml:space="preserve">      </w:t>
      </w:r>
      <w:r>
        <w:rPr>
          <w:rFonts w:cs="Arial Narrow" w:ascii="Arial" w:hAnsi="Arial"/>
          <w:b/>
          <w:bCs/>
          <w:i w:val="false"/>
          <w:iCs w:val="false"/>
          <w:sz w:val="18"/>
          <w:szCs w:val="18"/>
          <w:shd w:fill="auto" w:val="clear"/>
        </w:rPr>
        <w:t xml:space="preserve">Subprograma de RIESGO  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/>
          <w:i w:val="false"/>
          <w:iCs w:val="false"/>
          <w:sz w:val="18"/>
          <w:szCs w:val="18"/>
          <w:shd w:fill="auto" w:val="clear"/>
        </w:rPr>
        <w:t>Recepción (Hasta 30 días).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/>
          <w:i w:val="false"/>
          <w:iCs w:val="false"/>
          <w:sz w:val="18"/>
          <w:szCs w:val="18"/>
          <w:shd w:fill="auto" w:val="clear"/>
        </w:rPr>
        <w:t>Evaluación (3 meses).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Intervención (15 meses, ampliable a 18 meses).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Cierre y devolución (1,5 meses).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Seguimiento (A los 4 meses).</w:t>
      </w:r>
    </w:p>
    <w:p>
      <w:pPr>
        <w:pStyle w:val="NoSpacing"/>
        <w:widowControl/>
        <w:bidi w:val="0"/>
        <w:spacing w:lineRule="auto" w:line="240" w:before="0" w:after="0"/>
        <w:ind w:right="0" w:hanging="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</w:r>
    </w:p>
    <w:p>
      <w:pPr>
        <w:pStyle w:val="Textopreformateado"/>
        <w:widowControl/>
        <w:numPr>
          <w:ilvl w:val="0"/>
          <w:numId w:val="0"/>
        </w:numPr>
        <w:bidi w:val="0"/>
        <w:spacing w:lineRule="auto" w:line="240" w:before="0" w:after="0"/>
        <w:ind w:right="0" w:hanging="0"/>
        <w:jc w:val="left"/>
        <w:rPr>
          <w:rFonts w:ascii="Arial" w:hAnsi="Arial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 w:ascii="Arial" w:hAnsi="Arial"/>
          <w:b/>
          <w:bCs/>
          <w:i w:val="false"/>
          <w:iCs w:val="false"/>
          <w:sz w:val="18"/>
          <w:szCs w:val="18"/>
          <w:shd w:fill="auto" w:val="clear"/>
        </w:rPr>
        <w:t xml:space="preserve">      </w:t>
      </w:r>
      <w:r>
        <w:rPr>
          <w:rFonts w:cs="Arial Narrow" w:ascii="Arial" w:hAnsi="Arial"/>
          <w:b/>
          <w:bCs/>
          <w:i w:val="false"/>
          <w:iCs w:val="false"/>
          <w:sz w:val="18"/>
          <w:szCs w:val="18"/>
          <w:shd w:fill="auto" w:val="clear"/>
        </w:rPr>
        <w:t xml:space="preserve">Subprograma de REINTEGRACIÓN  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/>
          <w:i w:val="false"/>
          <w:iCs w:val="false"/>
          <w:sz w:val="18"/>
          <w:szCs w:val="18"/>
          <w:shd w:fill="auto" w:val="clear"/>
        </w:rPr>
        <w:t>Recepción (Hasta 30 días).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  <w:shd w:fill="auto" w:val="clear"/>
        </w:rPr>
      </w:pPr>
      <w:r>
        <w:rPr>
          <w:rFonts w:cs="Arial Narrow"/>
          <w:i w:val="false"/>
          <w:iCs w:val="false"/>
          <w:sz w:val="18"/>
          <w:szCs w:val="18"/>
          <w:shd w:fill="auto" w:val="clear"/>
        </w:rPr>
        <w:t>Evaluación (1,5 meses).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Intervención (6 meses, ampliable a 12 meses).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Cierre y devolución (1 mes).</w:t>
      </w:r>
    </w:p>
    <w:p>
      <w:pPr>
        <w:pStyle w:val="NoSpacing"/>
        <w:widowControl/>
        <w:numPr>
          <w:ilvl w:val="0"/>
          <w:numId w:val="3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  <w:shd w:fill="auto" w:val="clear"/>
        </w:rPr>
      </w:pPr>
      <w:r>
        <w:rPr>
          <w:sz w:val="18"/>
          <w:szCs w:val="18"/>
          <w:shd w:fill="auto" w:val="clear"/>
        </w:rPr>
        <w:t>Seguimiento (A los 4 meses tras el cierre del caso en el ETF, y a los 12 meses desde el cese de la medida de protección).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(11)</w:t>
      </w:r>
      <w:r>
        <w:rPr>
          <w:rFonts w:cs="Arial Narrow"/>
          <w:sz w:val="18"/>
          <w:szCs w:val="18"/>
        </w:rPr>
        <w:t xml:space="preserve">. </w:t>
      </w:r>
      <w:r>
        <w:rPr>
          <w:rFonts w:cs="Arial Narrow"/>
          <w:b/>
          <w:bCs/>
          <w:sz w:val="18"/>
          <w:szCs w:val="18"/>
        </w:rPr>
        <w:t>T.P:</w:t>
      </w:r>
      <w:r>
        <w:rPr>
          <w:rFonts w:cs="Arial Narrow"/>
          <w:sz w:val="18"/>
          <w:szCs w:val="18"/>
        </w:rPr>
        <w:t xml:space="preserve"> Temporalización del Proyecto. Tiempo de intervención que se marca en el Proyecto de intervención para el tratamiento.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(12).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>Finalidad / pronóstico</w:t>
      </w:r>
      <w:r>
        <w:rPr>
          <w:rFonts w:cs="Arial Narrow"/>
          <w:sz w:val="18"/>
          <w:szCs w:val="18"/>
        </w:rPr>
        <w:t xml:space="preserve">: 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sz w:val="18"/>
          <w:szCs w:val="18"/>
        </w:rPr>
        <w:t>- Fin u Objeto de la intervención.</w:t>
      </w:r>
      <w:r>
        <w:rPr>
          <w:rFonts w:cs="Arial Narrow"/>
          <w:b/>
          <w:bCs/>
          <w:sz w:val="18"/>
          <w:szCs w:val="18"/>
        </w:rPr>
        <w:t xml:space="preserve"> </w:t>
      </w:r>
      <w:r>
        <w:rPr>
          <w:rFonts w:cs="Arial Narrow"/>
          <w:b w:val="false"/>
          <w:bCs w:val="false"/>
          <w:sz w:val="18"/>
          <w:szCs w:val="18"/>
        </w:rPr>
        <w:t xml:space="preserve">Posibilidades </w:t>
      </w:r>
      <w:r>
        <w:rPr>
          <w:rFonts w:cs="Arial Narrow"/>
          <w:sz w:val="18"/>
          <w:szCs w:val="18"/>
        </w:rPr>
        <w:t>(no excluyentes):</w:t>
      </w:r>
    </w:p>
    <w:p>
      <w:pPr>
        <w:pStyle w:val="NoSpacing"/>
        <w:widowControl/>
        <w:numPr>
          <w:ilvl w:val="0"/>
          <w:numId w:val="4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 xml:space="preserve">Tratamiento para evitar separación (Derivado desde SS.SS.).  </w:t>
      </w:r>
    </w:p>
    <w:p>
      <w:pPr>
        <w:pStyle w:val="NoSpacing"/>
        <w:widowControl/>
        <w:numPr>
          <w:ilvl w:val="0"/>
          <w:numId w:val="4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Tratamiento para evitar separación (Desde SPM).</w:t>
      </w:r>
    </w:p>
    <w:p>
      <w:pPr>
        <w:pStyle w:val="NoSpacing"/>
        <w:widowControl/>
        <w:numPr>
          <w:ilvl w:val="0"/>
          <w:numId w:val="4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i w:val="false"/>
          <w:iCs w:val="false"/>
          <w:sz w:val="18"/>
          <w:szCs w:val="18"/>
        </w:rPr>
        <w:t>Investigación-Intervención por desamparo provisional (Desde SPM).</w:t>
      </w:r>
    </w:p>
    <w:p>
      <w:pPr>
        <w:pStyle w:val="NoSpacing"/>
        <w:widowControl/>
        <w:numPr>
          <w:ilvl w:val="0"/>
          <w:numId w:val="4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i w:val="false"/>
          <w:iCs w:val="false"/>
          <w:sz w:val="18"/>
          <w:szCs w:val="18"/>
        </w:rPr>
        <w:t>Tratamiento para reunificación, recuperabilidad (Desde SPM).</w:t>
      </w:r>
    </w:p>
    <w:p>
      <w:pPr>
        <w:pStyle w:val="NoSpacing"/>
        <w:rPr>
          <w:rFonts w:cs="Arial Narrow"/>
        </w:rPr>
      </w:pPr>
      <w:r>
        <w:rPr>
          <w:rFonts w:cs="Arial Narrow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sz w:val="18"/>
          <w:szCs w:val="18"/>
        </w:rPr>
        <w:t xml:space="preserve">- Pronostico de la intervención. </w:t>
      </w:r>
      <w:r>
        <w:rPr>
          <w:rFonts w:cs="Arial Narrow"/>
          <w:b w:val="false"/>
          <w:bCs w:val="false"/>
          <w:sz w:val="18"/>
          <w:szCs w:val="18"/>
        </w:rPr>
        <w:t xml:space="preserve">Posibilidades: </w:t>
      </w:r>
    </w:p>
    <w:p>
      <w:pPr>
        <w:pStyle w:val="NoSpacing"/>
        <w:widowControl/>
        <w:numPr>
          <w:ilvl w:val="0"/>
          <w:numId w:val="5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Favorable.</w:t>
      </w:r>
    </w:p>
    <w:p>
      <w:pPr>
        <w:pStyle w:val="NoSpacing"/>
        <w:widowControl/>
        <w:numPr>
          <w:ilvl w:val="0"/>
          <w:numId w:val="5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Desfavorable.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>(13).</w:t>
      </w:r>
      <w:r>
        <w:rPr>
          <w:rFonts w:cs="Arial Narrow"/>
          <w:sz w:val="18"/>
          <w:szCs w:val="18"/>
        </w:rPr>
        <w:t xml:space="preserve"> </w:t>
      </w:r>
      <w:r>
        <w:rPr>
          <w:rFonts w:cs="Arial Narrow"/>
          <w:b/>
          <w:bCs/>
          <w:sz w:val="18"/>
          <w:szCs w:val="18"/>
        </w:rPr>
        <w:t xml:space="preserve">Instrumentos Evaluación. </w:t>
      </w:r>
      <w:r>
        <w:rPr>
          <w:rFonts w:cs="Arial Narrow"/>
          <w:sz w:val="18"/>
          <w:szCs w:val="18"/>
        </w:rPr>
        <w:t xml:space="preserve">Instrumentos utilizados en la  Evaluación. </w:t>
      </w:r>
      <w:r>
        <w:rPr>
          <w:rFonts w:cs="Arial Narrow"/>
          <w:b w:val="false"/>
          <w:bCs w:val="false"/>
          <w:sz w:val="18"/>
          <w:szCs w:val="18"/>
        </w:rPr>
        <w:t xml:space="preserve">Posibilidades: 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Entrevista.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AAPI - 2.5  (Inventario de Crianza de Adultos y Adolescentes).</w:t>
        <w:tab/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ECP – 12  (Evaluación de Competencias Parentales).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SCORE - 15 (Escala de Evaluación Familiar).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SDQ (Cuestionario de Capacidades y Dificultades).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 w:val="false"/>
          <w:i w:val="false"/>
          <w:iCs w:val="false"/>
          <w:sz w:val="18"/>
          <w:szCs w:val="18"/>
        </w:rPr>
      </w:pPr>
      <w:r>
        <w:rPr>
          <w:rFonts w:cs="Arial Narrow"/>
          <w:i w:val="false"/>
          <w:iCs w:val="false"/>
          <w:sz w:val="18"/>
          <w:szCs w:val="18"/>
        </w:rPr>
        <w:t>SOATIF.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rFonts w:cs="Arial Narrow"/>
          <w:i/>
          <w:iCs/>
          <w:sz w:val="18"/>
          <w:szCs w:val="18"/>
        </w:rPr>
        <w:t>Cuestionario de Satisfacción CSQ – 8.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rFonts w:cs="Arial Narrow"/>
          <w:i/>
          <w:iCs/>
          <w:sz w:val="18"/>
          <w:szCs w:val="18"/>
        </w:rPr>
        <w:t>Criterios G.R.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rFonts w:cs="Arial Narrow"/>
          <w:i/>
          <w:iCs/>
          <w:sz w:val="18"/>
          <w:szCs w:val="18"/>
        </w:rPr>
        <w:t>Escala CWBS.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rFonts w:cs="Arial Narrow"/>
          <w:i/>
          <w:iCs/>
          <w:sz w:val="18"/>
          <w:szCs w:val="18"/>
          <w:lang w:val="es-ES"/>
        </w:rPr>
        <w:t>CAP.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rFonts w:cs="Arial Narrow"/>
          <w:i/>
          <w:iCs/>
          <w:sz w:val="18"/>
          <w:szCs w:val="18"/>
          <w:lang w:val="es-ES"/>
        </w:rPr>
        <w:t>Test Depresión.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i/>
          <w:iCs/>
          <w:sz w:val="18"/>
          <w:szCs w:val="18"/>
        </w:rPr>
        <w:t>Test de Personalidad.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Escala Autoconcepto P-H.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rFonts w:cs="Arial Narrow"/>
          <w:i/>
          <w:iCs/>
          <w:sz w:val="18"/>
          <w:szCs w:val="18"/>
          <w:lang w:val="es-ES"/>
        </w:rPr>
        <w:t>Adaptación Socioemocional.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Activación Empática.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CEIC-CEICA.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Escala Achenbach.</w:t>
      </w:r>
    </w:p>
    <w:p>
      <w:pPr>
        <w:pStyle w:val="NoSpacing"/>
        <w:widowControl/>
        <w:numPr>
          <w:ilvl w:val="0"/>
          <w:numId w:val="6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i/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Otros (especificar cuales).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  <w:lang w:val="es-ES"/>
        </w:rPr>
        <w:t xml:space="preserve">(14). Fecha Cierre / Motivo: </w:t>
      </w:r>
      <w:r>
        <w:rPr>
          <w:rFonts w:cs="Arial Narrow"/>
          <w:sz w:val="18"/>
          <w:szCs w:val="18"/>
          <w:lang w:val="es-ES"/>
        </w:rPr>
        <w:t xml:space="preserve">Fecha de cierre del caso por ETF y Motivo. </w:t>
      </w:r>
      <w:r>
        <w:rPr>
          <w:rFonts w:cs="Arial Narrow"/>
          <w:b w:val="false"/>
          <w:bCs w:val="false"/>
          <w:sz w:val="18"/>
          <w:szCs w:val="18"/>
          <w:lang w:val="es-ES"/>
        </w:rPr>
        <w:t>Posibilidades: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Consecución de Objetivos (Parcial o total).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No consecución de Objetivos.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No colaboración de la Familla.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 xml:space="preserve">Adopción de Medida Protectora. 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Traslado de domicilio.</w:t>
      </w:r>
    </w:p>
    <w:p>
      <w:pPr>
        <w:pStyle w:val="NoSpacing"/>
        <w:widowControl/>
        <w:numPr>
          <w:ilvl w:val="0"/>
          <w:numId w:val="7"/>
        </w:numPr>
        <w:bidi w:val="0"/>
        <w:spacing w:lineRule="auto" w:line="240" w:before="0" w:after="0"/>
        <w:ind w:left="680" w:right="0" w:hanging="340"/>
        <w:jc w:val="left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Mayoría de edad de los menores.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  <w:t>Una vez emitido el Anexo 5 (Derivación del ETF al SPM), no se debe cerrar el caso en ETF hasta que se adopte medida por la Comisión de Medidas de Protección.</w:t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(15) .Nº de altas: </w:t>
      </w:r>
      <w:r>
        <w:rPr>
          <w:rFonts w:cs="Arial Narrow"/>
          <w:sz w:val="18"/>
          <w:szCs w:val="18"/>
        </w:rPr>
        <w:t>Número de casos nuevos en el mes.</w:t>
      </w:r>
    </w:p>
    <w:p>
      <w:pPr>
        <w:pStyle w:val="NoSpacing"/>
        <w:rPr>
          <w:rFonts w:cs="Arial Narrow"/>
        </w:rPr>
      </w:pPr>
      <w:r>
        <w:rPr>
          <w:rFonts w:cs="Arial Narrow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(16) .Nº de bajas: </w:t>
      </w:r>
      <w:r>
        <w:rPr>
          <w:rFonts w:cs="Arial Narrow"/>
          <w:sz w:val="18"/>
          <w:szCs w:val="18"/>
        </w:rPr>
        <w:t>Número de casos cerrados en el mes.</w:t>
      </w:r>
    </w:p>
    <w:p>
      <w:pPr>
        <w:pStyle w:val="NoSpacing"/>
        <w:rPr>
          <w:rFonts w:cs="Arial Narrow"/>
        </w:rPr>
      </w:pPr>
      <w:r>
        <w:rPr>
          <w:rFonts w:cs="Arial Narrow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(17) .Nº Total de casos: </w:t>
      </w:r>
      <w:r>
        <w:rPr>
          <w:rFonts w:cs="Arial Narrow"/>
          <w:sz w:val="18"/>
          <w:szCs w:val="18"/>
        </w:rPr>
        <w:t>Número total de casos que se están tratando en el mes. (incluidas las altas y la bajas del mes).</w:t>
      </w:r>
    </w:p>
    <w:p>
      <w:pPr>
        <w:pStyle w:val="NoSpacing"/>
        <w:rPr>
          <w:rFonts w:cs="Arial Narrow"/>
        </w:rPr>
      </w:pPr>
      <w:r>
        <w:rPr>
          <w:rFonts w:cs="Arial Narrow"/>
        </w:rPr>
      </w:r>
    </w:p>
    <w:p>
      <w:pPr>
        <w:pStyle w:val="NoSpacing"/>
        <w:rPr>
          <w:rFonts w:ascii="Calibri" w:hAnsi="Calibri"/>
          <w:sz w:val="18"/>
          <w:szCs w:val="18"/>
        </w:rPr>
      </w:pPr>
      <w:r>
        <w:rPr>
          <w:rFonts w:cs="Arial Narrow"/>
          <w:b/>
          <w:bCs/>
          <w:sz w:val="18"/>
          <w:szCs w:val="18"/>
        </w:rPr>
        <w:t xml:space="preserve">(18) .Nº Total de menores: </w:t>
      </w:r>
      <w:r>
        <w:rPr>
          <w:rFonts w:cs="Arial Narrow"/>
          <w:sz w:val="18"/>
          <w:szCs w:val="18"/>
        </w:rPr>
        <w:t>Número total de menores con los que trabaja el Equipo de ETF en el mes (incluidos/as los/as de  las altas y las bajas).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sectPr>
      <w:type w:val="nextPage"/>
      <w:pgSz w:orient="landscape" w:w="16838" w:h="11906"/>
      <w:pgMar w:left="785" w:right="903" w:header="0" w:top="785" w:footer="0" w:bottom="1706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Wingdings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Arial">
    <w:charset w:val="00"/>
    <w:family w:val="roman"/>
    <w:pitch w:val="variable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"/>
      <w:lvlJc w:val="left"/>
      <w:pPr>
        <w:tabs>
          <w:tab w:val="num" w:pos="1428"/>
        </w:tabs>
        <w:ind w:left="1428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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s-ES" w:bidi="es-ES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11f3f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11f3f"/>
    <w:pPr>
      <w:keepNext w:val="true"/>
      <w:keepLines/>
      <w:spacing w:lineRule="auto" w:line="240" w:before="400" w:after="40"/>
      <w:outlineLvl w:val="0"/>
    </w:pPr>
    <w:rPr>
      <w:rFonts w:ascii="Calibri Light" w:hAnsi="Calibri Light" w:eastAsia="SimSun" w:cs="Times New Roman"/>
      <w:color w:val="1F4E79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1f3f"/>
    <w:pPr>
      <w:keepNext w:val="true"/>
      <w:keepLines/>
      <w:spacing w:lineRule="auto" w:line="240" w:before="40" w:after="0"/>
      <w:outlineLvl w:val="1"/>
    </w:pPr>
    <w:rPr>
      <w:rFonts w:ascii="Calibri Light" w:hAnsi="Calibri Light" w:eastAsia="SimSun" w:cs="Times New Roman"/>
      <w:color w:val="2E74B5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1f3f"/>
    <w:pPr>
      <w:keepNext w:val="true"/>
      <w:keepLines/>
      <w:spacing w:lineRule="auto" w:line="240" w:before="40" w:after="0"/>
      <w:outlineLvl w:val="2"/>
    </w:pPr>
    <w:rPr>
      <w:rFonts w:ascii="Calibri Light" w:hAnsi="Calibri Light" w:eastAsia="SimSun" w:cs="Times New Roman"/>
      <w:color w:val="2E74B5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1f3f"/>
    <w:pPr>
      <w:keepNext w:val="true"/>
      <w:keepLines/>
      <w:spacing w:before="40" w:after="0"/>
      <w:outlineLvl w:val="3"/>
    </w:pPr>
    <w:rPr>
      <w:rFonts w:ascii="Calibri Light" w:hAnsi="Calibri Light" w:eastAsia="SimSun" w:cs="Times New Roman"/>
      <w:color w:val="2E74B5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1f3f"/>
    <w:pPr>
      <w:keepNext w:val="true"/>
      <w:keepLines/>
      <w:spacing w:before="40" w:after="0"/>
      <w:outlineLvl w:val="4"/>
    </w:pPr>
    <w:rPr>
      <w:rFonts w:ascii="Calibri Light" w:hAnsi="Calibri Light" w:eastAsia="SimSun" w:cs="Times New Roman"/>
      <w:caps/>
      <w:color w:val="2E74B5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1f3f"/>
    <w:pPr>
      <w:keepNext w:val="true"/>
      <w:keepLines/>
      <w:spacing w:before="40" w:after="0"/>
      <w:outlineLvl w:val="5"/>
    </w:pPr>
    <w:rPr>
      <w:rFonts w:ascii="Calibri Light" w:hAnsi="Calibri Light" w:eastAsia="SimSun" w:cs="Times New Roman"/>
      <w:i/>
      <w:iCs/>
      <w:caps/>
      <w:color w:val="1F4E7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1f3f"/>
    <w:pPr>
      <w:keepNext w:val="true"/>
      <w:keepLines/>
      <w:spacing w:before="40" w:after="0"/>
      <w:outlineLvl w:val="6"/>
    </w:pPr>
    <w:rPr>
      <w:rFonts w:ascii="Calibri Light" w:hAnsi="Calibri Light" w:eastAsia="SimSun" w:cs="Times New Roman"/>
      <w:b/>
      <w:bCs/>
      <w:color w:val="1F4E79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1f3f"/>
    <w:pPr>
      <w:keepNext w:val="true"/>
      <w:keepLines/>
      <w:spacing w:before="40" w:after="0"/>
      <w:outlineLvl w:val="7"/>
    </w:pPr>
    <w:rPr>
      <w:rFonts w:ascii="Calibri Light" w:hAnsi="Calibri Light" w:eastAsia="SimSun" w:cs="Times New Roman"/>
      <w:b/>
      <w:bCs/>
      <w:i/>
      <w:iCs/>
      <w:color w:val="1F4E7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1f3f"/>
    <w:pPr>
      <w:keepNext w:val="true"/>
      <w:keepLines/>
      <w:spacing w:before="40" w:after="0"/>
      <w:outlineLvl w:val="8"/>
    </w:pPr>
    <w:rPr>
      <w:rFonts w:ascii="Calibri Light" w:hAnsi="Calibri Light" w:eastAsia="SimSun" w:cs="Times New Roman"/>
      <w:i/>
      <w:iCs/>
      <w:color w:val="1F4E79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link w:val="Ttulo1"/>
    <w:uiPriority w:val="9"/>
    <w:qFormat/>
    <w:rsid w:val="00011f3f"/>
    <w:rPr>
      <w:rFonts w:ascii="Calibri Light" w:hAnsi="Calibri Light" w:eastAsia="SimSun" w:cs="Times New Roman"/>
      <w:color w:val="1F4E79"/>
      <w:sz w:val="36"/>
      <w:szCs w:val="36"/>
    </w:rPr>
  </w:style>
  <w:style w:type="character" w:styleId="Ttulo2Car" w:customStyle="1">
    <w:name w:val="Título 2 Car"/>
    <w:link w:val="Ttulo2"/>
    <w:uiPriority w:val="9"/>
    <w:semiHidden/>
    <w:qFormat/>
    <w:rsid w:val="00011f3f"/>
    <w:rPr>
      <w:rFonts w:ascii="Calibri Light" w:hAnsi="Calibri Light" w:eastAsia="SimSun" w:cs="Times New Roman"/>
      <w:color w:val="2E74B5"/>
      <w:sz w:val="32"/>
      <w:szCs w:val="32"/>
    </w:rPr>
  </w:style>
  <w:style w:type="character" w:styleId="Ttulo3Car" w:customStyle="1">
    <w:name w:val="Título 3 Car"/>
    <w:link w:val="Ttulo3"/>
    <w:uiPriority w:val="9"/>
    <w:semiHidden/>
    <w:qFormat/>
    <w:rsid w:val="00011f3f"/>
    <w:rPr>
      <w:rFonts w:ascii="Calibri Light" w:hAnsi="Calibri Light" w:eastAsia="SimSun" w:cs="Times New Roman"/>
      <w:color w:val="2E74B5"/>
      <w:sz w:val="28"/>
      <w:szCs w:val="28"/>
    </w:rPr>
  </w:style>
  <w:style w:type="character" w:styleId="Ttulo4Car" w:customStyle="1">
    <w:name w:val="Título 4 Car"/>
    <w:link w:val="Ttulo4"/>
    <w:uiPriority w:val="9"/>
    <w:semiHidden/>
    <w:qFormat/>
    <w:rsid w:val="00011f3f"/>
    <w:rPr>
      <w:rFonts w:ascii="Calibri Light" w:hAnsi="Calibri Light" w:eastAsia="SimSun" w:cs="Times New Roman"/>
      <w:color w:val="2E74B5"/>
      <w:sz w:val="24"/>
      <w:szCs w:val="24"/>
    </w:rPr>
  </w:style>
  <w:style w:type="character" w:styleId="Ttulo5Car" w:customStyle="1">
    <w:name w:val="Título 5 Car"/>
    <w:link w:val="Ttulo5"/>
    <w:uiPriority w:val="9"/>
    <w:semiHidden/>
    <w:qFormat/>
    <w:rsid w:val="00011f3f"/>
    <w:rPr>
      <w:rFonts w:ascii="Calibri Light" w:hAnsi="Calibri Light" w:eastAsia="SimSun" w:cs="Times New Roman"/>
      <w:caps/>
      <w:color w:val="2E74B5"/>
    </w:rPr>
  </w:style>
  <w:style w:type="character" w:styleId="Ttulo6Car" w:customStyle="1">
    <w:name w:val="Título 6 Car"/>
    <w:link w:val="Ttulo6"/>
    <w:uiPriority w:val="9"/>
    <w:semiHidden/>
    <w:qFormat/>
    <w:rsid w:val="00011f3f"/>
    <w:rPr>
      <w:rFonts w:ascii="Calibri Light" w:hAnsi="Calibri Light" w:eastAsia="SimSun" w:cs="Times New Roman"/>
      <w:i/>
      <w:iCs/>
      <w:caps/>
      <w:color w:val="1F4E79"/>
    </w:rPr>
  </w:style>
  <w:style w:type="character" w:styleId="Ttulo7Car" w:customStyle="1">
    <w:name w:val="Título 7 Car"/>
    <w:link w:val="Ttulo7"/>
    <w:uiPriority w:val="9"/>
    <w:semiHidden/>
    <w:qFormat/>
    <w:rsid w:val="00011f3f"/>
    <w:rPr>
      <w:rFonts w:ascii="Calibri Light" w:hAnsi="Calibri Light" w:eastAsia="SimSun" w:cs="Times New Roman"/>
      <w:b/>
      <w:bCs/>
      <w:color w:val="1F4E79"/>
    </w:rPr>
  </w:style>
  <w:style w:type="character" w:styleId="Ttulo8Car" w:customStyle="1">
    <w:name w:val="Título 8 Car"/>
    <w:link w:val="Ttulo8"/>
    <w:uiPriority w:val="9"/>
    <w:semiHidden/>
    <w:qFormat/>
    <w:rsid w:val="00011f3f"/>
    <w:rPr>
      <w:rFonts w:ascii="Calibri Light" w:hAnsi="Calibri Light" w:eastAsia="SimSun" w:cs="Times New Roman"/>
      <w:b/>
      <w:bCs/>
      <w:i/>
      <w:iCs/>
      <w:color w:val="1F4E79"/>
    </w:rPr>
  </w:style>
  <w:style w:type="character" w:styleId="Ttulo9Car" w:customStyle="1">
    <w:name w:val="Título 9 Car"/>
    <w:link w:val="Ttulo9"/>
    <w:uiPriority w:val="9"/>
    <w:semiHidden/>
    <w:qFormat/>
    <w:rsid w:val="00011f3f"/>
    <w:rPr>
      <w:rFonts w:ascii="Calibri Light" w:hAnsi="Calibri Light" w:eastAsia="SimSun" w:cs="Times New Roman"/>
      <w:i/>
      <w:iCs/>
      <w:color w:val="1F4E79"/>
    </w:rPr>
  </w:style>
  <w:style w:type="character" w:styleId="TtuloCar" w:customStyle="1">
    <w:name w:val="Título Car"/>
    <w:link w:val="Ttulo"/>
    <w:uiPriority w:val="10"/>
    <w:qFormat/>
    <w:rsid w:val="00011f3f"/>
    <w:rPr>
      <w:rFonts w:ascii="Calibri Light" w:hAnsi="Calibri Light" w:eastAsia="SimSun" w:cs="Times New Roman"/>
      <w:caps/>
      <w:color w:val="44546A"/>
      <w:spacing w:val="-15"/>
      <w:sz w:val="72"/>
      <w:szCs w:val="72"/>
    </w:rPr>
  </w:style>
  <w:style w:type="character" w:styleId="SubttuloCar" w:customStyle="1">
    <w:name w:val="Subtítulo Car"/>
    <w:link w:val="Subttulo"/>
    <w:uiPriority w:val="11"/>
    <w:qFormat/>
    <w:rsid w:val="00011f3f"/>
    <w:rPr>
      <w:rFonts w:ascii="Calibri Light" w:hAnsi="Calibri Light" w:eastAsia="SimSun" w:cs="Times New Roman"/>
      <w:color w:val="5B9BD5"/>
      <w:sz w:val="28"/>
      <w:szCs w:val="28"/>
    </w:rPr>
  </w:style>
  <w:style w:type="character" w:styleId="Strong">
    <w:name w:val="Strong"/>
    <w:uiPriority w:val="22"/>
    <w:qFormat/>
    <w:rsid w:val="00011f3f"/>
    <w:rPr>
      <w:b/>
      <w:bCs/>
    </w:rPr>
  </w:style>
  <w:style w:type="character" w:styleId="Destacado">
    <w:name w:val="Destacado"/>
    <w:uiPriority w:val="20"/>
    <w:qFormat/>
    <w:rsid w:val="00011f3f"/>
    <w:rPr>
      <w:i/>
      <w:iCs/>
    </w:rPr>
  </w:style>
  <w:style w:type="character" w:styleId="CitaCar" w:customStyle="1">
    <w:name w:val="Cita Car"/>
    <w:link w:val="Cita"/>
    <w:uiPriority w:val="29"/>
    <w:qFormat/>
    <w:rsid w:val="00011f3f"/>
    <w:rPr>
      <w:color w:val="44546A"/>
      <w:sz w:val="24"/>
      <w:szCs w:val="24"/>
    </w:rPr>
  </w:style>
  <w:style w:type="character" w:styleId="CitadestacadaCar" w:customStyle="1">
    <w:name w:val="Cita destacada Car"/>
    <w:link w:val="Citadestacada"/>
    <w:uiPriority w:val="30"/>
    <w:qFormat/>
    <w:rsid w:val="00011f3f"/>
    <w:rPr>
      <w:rFonts w:ascii="Calibri Light" w:hAnsi="Calibri Light" w:eastAsia="SimSun" w:cs="Times New Roman"/>
      <w:color w:val="44546A"/>
      <w:spacing w:val="-6"/>
      <w:sz w:val="32"/>
      <w:szCs w:val="32"/>
    </w:rPr>
  </w:style>
  <w:style w:type="character" w:styleId="SubtleEmphasis">
    <w:name w:val="Subtle Emphasis"/>
    <w:uiPriority w:val="19"/>
    <w:qFormat/>
    <w:rsid w:val="00011f3f"/>
    <w:rPr>
      <w:i/>
      <w:iCs/>
      <w:color w:val="595959"/>
    </w:rPr>
  </w:style>
  <w:style w:type="character" w:styleId="IntenseEmphasis">
    <w:name w:val="Intense Emphasis"/>
    <w:uiPriority w:val="21"/>
    <w:qFormat/>
    <w:rsid w:val="00011f3f"/>
    <w:rPr>
      <w:b/>
      <w:bCs/>
      <w:i/>
      <w:iCs/>
    </w:rPr>
  </w:style>
  <w:style w:type="character" w:styleId="SubtleReference">
    <w:name w:val="Subtle Reference"/>
    <w:uiPriority w:val="31"/>
    <w:qFormat/>
    <w:rsid w:val="00011f3f"/>
    <w:rPr>
      <w:smallCaps/>
      <w:color w:val="595959"/>
      <w:u w:val="none" w:color="7F7F7F"/>
    </w:rPr>
  </w:style>
  <w:style w:type="character" w:styleId="IntenseReference">
    <w:name w:val="Intense Reference"/>
    <w:uiPriority w:val="32"/>
    <w:qFormat/>
    <w:rsid w:val="00011f3f"/>
    <w:rPr>
      <w:b/>
      <w:bCs/>
      <w:smallCaps/>
      <w:color w:val="44546A"/>
      <w:u w:val="single"/>
    </w:rPr>
  </w:style>
  <w:style w:type="character" w:styleId="BookTitle">
    <w:name w:val="Book Title"/>
    <w:uiPriority w:val="33"/>
    <w:qFormat/>
    <w:rsid w:val="00011f3f"/>
    <w:rPr>
      <w:b/>
      <w:bCs/>
      <w:smallCaps/>
      <w:spacing w:val="10"/>
    </w:rPr>
  </w:style>
  <w:style w:type="character" w:styleId="WW8Num4z0">
    <w:name w:val="WW8Num4z0"/>
    <w:qFormat/>
    <w:rPr>
      <w:rFonts w:ascii="Wingdings" w:hAnsi="Wingdings" w:cs="Wingdings"/>
      <w:sz w:val="16"/>
    </w:rPr>
  </w:style>
  <w:style w:type="character" w:styleId="WW8Num2z0">
    <w:name w:val="WW8Num2z0"/>
    <w:qFormat/>
    <w:rPr>
      <w:rFonts w:ascii="Wingdings" w:hAnsi="Wingdings" w:cs="Wingdings"/>
      <w:sz w:val="16"/>
    </w:rPr>
  </w:style>
  <w:style w:type="character" w:styleId="WW8Num8z0">
    <w:name w:val="WW8Num8z0"/>
    <w:qFormat/>
    <w:rPr>
      <w:rFonts w:ascii="Wingdings" w:hAnsi="Wingdings" w:cs="Wingdings"/>
      <w:sz w:val="16"/>
    </w:rPr>
  </w:style>
  <w:style w:type="character" w:styleId="WW8Num6z0">
    <w:name w:val="WW8Num6z0"/>
    <w:qFormat/>
    <w:rPr>
      <w:rFonts w:ascii="Wingdings" w:hAnsi="Wingdings" w:cs="Wingdings"/>
      <w:sz w:val="16"/>
    </w:rPr>
  </w:style>
  <w:style w:type="character" w:styleId="WW8Num5z0">
    <w:name w:val="WW8Num5z0"/>
    <w:qFormat/>
    <w:rPr>
      <w:rFonts w:ascii="Wingdings" w:hAnsi="Wingdings" w:cs="Wingdings"/>
      <w:sz w:val="16"/>
    </w:rPr>
  </w:style>
  <w:style w:type="character" w:styleId="WW8Num7z0">
    <w:name w:val="WW8Num7z0"/>
    <w:qFormat/>
    <w:rPr>
      <w:rFonts w:ascii="Wingdings" w:hAnsi="Wingdings" w:cs="Wingdings"/>
      <w:sz w:val="16"/>
      <w:lang w:val="es-ES"/>
    </w:rPr>
  </w:style>
  <w:style w:type="character" w:styleId="WW8Num3z0">
    <w:name w:val="WW8Num3z0"/>
    <w:qFormat/>
    <w:rPr>
      <w:rFonts w:ascii="Wingdings" w:hAnsi="Wingdings" w:cs="Wingdings"/>
      <w:sz w:val="16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11f3f"/>
    <w:pPr>
      <w:spacing w:lineRule="auto" w:line="240"/>
    </w:pPr>
    <w:rPr>
      <w:b/>
      <w:bCs/>
      <w:smallCaps/>
      <w:color w:val="44546A"/>
    </w:rPr>
  </w:style>
  <w:style w:type="paragraph" w:styleId="Ttulogeneral">
    <w:name w:val="Title"/>
    <w:basedOn w:val="Normal"/>
    <w:next w:val="Normal"/>
    <w:link w:val="TtuloCar"/>
    <w:uiPriority w:val="10"/>
    <w:qFormat/>
    <w:rsid w:val="00011f3f"/>
    <w:pPr>
      <w:spacing w:lineRule="auto" w:line="204" w:before="0" w:after="0"/>
      <w:contextualSpacing/>
    </w:pPr>
    <w:rPr>
      <w:rFonts w:ascii="Calibri Light" w:hAnsi="Calibri Light" w:eastAsia="SimSun" w:cs="Times New Roman"/>
      <w:caps/>
      <w:color w:val="44546A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011f3f"/>
    <w:pPr>
      <w:spacing w:lineRule="auto" w:line="240" w:before="0" w:after="240"/>
    </w:pPr>
    <w:rPr>
      <w:rFonts w:ascii="Calibri Light" w:hAnsi="Calibri Light" w:eastAsia="SimSun" w:cs="Times New Roman"/>
      <w:color w:val="5B9BD5"/>
      <w:sz w:val="28"/>
      <w:szCs w:val="28"/>
    </w:rPr>
  </w:style>
  <w:style w:type="paragraph" w:styleId="NoSpacing">
    <w:name w:val="No Spacing"/>
    <w:uiPriority w:val="1"/>
    <w:qFormat/>
    <w:rsid w:val="00011f3f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s-ES" w:bidi="es-ES"/>
    </w:rPr>
  </w:style>
  <w:style w:type="paragraph" w:styleId="ListParagraph">
    <w:name w:val="List Paragraph"/>
    <w:basedOn w:val="Normal"/>
    <w:uiPriority w:val="34"/>
    <w:qFormat/>
    <w:rsid w:val="00011f3f"/>
    <w:pPr>
      <w:spacing w:before="0" w:after="160"/>
      <w:ind w:left="720" w:hanging="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011f3f"/>
    <w:pPr>
      <w:spacing w:before="120" w:after="120"/>
      <w:ind w:left="720" w:hanging="0"/>
    </w:pPr>
    <w:rPr>
      <w:color w:val="44546A"/>
      <w:sz w:val="24"/>
      <w:szCs w:val="24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011f3f"/>
    <w:pPr>
      <w:spacing w:lineRule="auto" w:line="240" w:beforeAutospacing="1" w:after="240"/>
      <w:ind w:left="720" w:hanging="0"/>
      <w:jc w:val="center"/>
    </w:pPr>
    <w:rPr>
      <w:rFonts w:ascii="Calibri Light" w:hAnsi="Calibri Light" w:eastAsia="SimSun" w:cs="Times New Roman"/>
      <w:color w:val="44546A"/>
      <w:spacing w:val="-6"/>
      <w:sz w:val="32"/>
      <w:szCs w:val="32"/>
    </w:rPr>
  </w:style>
  <w:style w:type="paragraph" w:styleId="TOCHeading">
    <w:name w:val="TOC Heading"/>
    <w:basedOn w:val="Ttulo1"/>
    <w:next w:val="Normal"/>
    <w:uiPriority w:val="39"/>
    <w:semiHidden/>
    <w:unhideWhenUsed/>
    <w:qFormat/>
    <w:rsid w:val="00011f3f"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WW8Num4">
    <w:name w:val="WW8Num4"/>
    <w:qFormat/>
  </w:style>
  <w:style w:type="numbering" w:styleId="WW8Num2">
    <w:name w:val="WW8Num2"/>
    <w:qFormat/>
  </w:style>
  <w:style w:type="numbering" w:styleId="WW8Num8">
    <w:name w:val="WW8Num8"/>
    <w:qFormat/>
  </w:style>
  <w:style w:type="numbering" w:styleId="WW8Num6">
    <w:name w:val="WW8Num6"/>
    <w:qFormat/>
  </w:style>
  <w:style w:type="numbering" w:styleId="WW8Num5">
    <w:name w:val="WW8Num5"/>
    <w:qFormat/>
  </w:style>
  <w:style w:type="numbering" w:styleId="WW8Num7">
    <w:name w:val="WW8Num7"/>
    <w:qFormat/>
  </w:style>
  <w:style w:type="numbering" w:styleId="WW8Num3">
    <w:name w:val="WW8Num3"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TFRevision0NoSpacing">
    <w:name w:val="Título del documento (NoSpacing)"/>
    <w:basedOn w:val="NoSpacing"/>
    <w:qFormat/>
    <w:pPr>
      <w:outlineLvl w:val="0"/>
    </w:pPr>
  </w:style>
  <w:style w:type="paragraph" w:styleId="ETFRevision1NoSpacing">
    <w:name w:val="Título de apartado (NoSpacing)"/>
    <w:basedOn w:val="NoSpacing"/>
    <w:qFormat/>
    <w:pPr>
      <w:outlineLvl w:val="1"/>
    </w:p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Application>LibreOffice/7.1.5.2$Windows_X86_64 LibreOffice_project/85f04e9f809797b8199d13c421bd8a2b025d52b5</Application>
  <AppVersion>15.0000</AppVersion>
  <Pages>4</Pages>
  <Words>792</Words>
  <Characters>4100</Characters>
  <CharactersWithSpaces>4798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2026-10-13T05:52:00Z</dcterms:created>
  <dc:creator>Expedientes ETF</dc:creator>
  <dc:description/>
  <dc:language>es-ES</dc:language>
  <cp:lastModifiedBy>Expedientes ETF</cp:lastModifiedBy>
  <dcterms:modified xsi:type="dcterms:W3CDTF">2026-10-13T09:16:49Z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