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'1.0' encoding='UTF-8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mc:Ignorable="w14 wp14">
  <w:body>
    <w:p>
      <w:pPr>
        <w:outlineLvl w:val="0"/>
        <w:pStyle w:val="ETFRevision0NoSpacing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Monthly table for the SPAF</w:t>
      </w:r>
    </w:p>
    <w:p>
      <w:pPr>
        <w:outlineLvl w:val="1"/>
        <w:pStyle w:val="ETFRevision1NoSpacing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FAMILY TREATMENT TEAM MONITORING INDICATORS</w:t>
      </w:r>
    </w:p>
    <w:tbl>
      <w:tblPr>
        <w:tblW w:w="3949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2749"/>
      </w:tblGrid>
      <w:tr>
        <w:trPr>
          <w:trHeight w:val="349" w:hRule="atLeast"/>
        </w:trPr>
        <w:tc>
          <w:tcPr>
            <w:tcW w:w="1200" w:type="dxa"/>
            <w:vAlign w:val="center"/>
          </w:tcPr>
          <w:p>
            <w:pPr>
              <w:pStyle w:val="NoSpacing"/>
              <w:jc w:val="center"/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ETF no.</w:t>
            </w:r>
          </w:p>
        </w:tc>
        <w:tc>
          <w:tcPr>
            <w:tcW w:w="2749" w:type="dxa"/>
            <w:vAlign w:val="center"/>
            <w:tcBorders>
              <w:bottom w:val="single" w:sz="4"/>
              <w:right w:val="single" w:sz="4"/>
            </w:tcBorders>
          </w:tcPr>
          <w:p>
            <w:pPr>
              <w:pStyle w:val="NoSpacing"/>
              <w:jc w:val="center"/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{{equipo}}</w:t>
            </w:r>
          </w:p>
        </w:tc>
      </w:tr>
    </w:tbl>
    <w:tbl>
      <w:tblPr>
        <w:tblW w:w="7198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0"/>
        <w:gridCol w:w="2749"/>
        <w:gridCol w:w="1000"/>
        <w:gridCol w:w="2749"/>
      </w:tblGrid>
      <w:tr>
        <w:trPr>
          <w:trHeight w:val="349" w:hRule="atLeast"/>
        </w:trPr>
        <w:tc>
          <w:tcPr>
            <w:tcW w:w="700" w:type="dxa"/>
            <w:vAlign w:val="center"/>
          </w:tcPr>
          <w:p>
            <w:pPr>
              <w:pStyle w:val="NoSpacing"/>
              <w:jc w:val="center"/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Month</w:t>
            </w:r>
          </w:p>
        </w:tc>
        <w:tc>
          <w:tcPr>
            <w:tcW w:w="2749" w:type="dxa"/>
            <w:vAlign w:val="center"/>
            <w:tcBorders>
              <w:bottom w:val="single" w:sz="4"/>
              <w:right w:val="single" w:sz="4"/>
            </w:tcBorders>
          </w:tcPr>
          <w:p>
            <w:pPr>
              <w:pStyle w:val="NoSpacing"/>
              <w:jc w:val="center"/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{{mes}}</w:t>
            </w:r>
          </w:p>
        </w:tc>
        <w:tc>
          <w:tcPr>
            <w:tcW w:w="1000" w:type="dxa"/>
            <w:vAlign w:val="center"/>
          </w:tcPr>
          <w:p>
            <w:pPr>
              <w:pStyle w:val="NoSpacing"/>
              <w:jc w:val="center"/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Year</w:t>
            </w:r>
          </w:p>
        </w:tc>
        <w:tc>
          <w:tcPr>
            <w:tcW w:w="2749" w:type="dxa"/>
            <w:vAlign w:val="center"/>
            <w:tcBorders>
              <w:bottom w:val="single" w:sz="4"/>
              <w:right w:val="single" w:sz="4"/>
            </w:tcBorders>
          </w:tcPr>
          <w:p>
            <w:pPr>
              <w:pStyle w:val="NoSpacing"/>
              <w:jc w:val="center"/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{{anio}}</w:t>
            </w:r>
          </w:p>
        </w:tc>
      </w:tr>
    </w:tbl>
    <w:p>
      <w:pPr>
        <w:pStyle w:val="NoSpacing"/>
        <w:jc w:val="both"/>
        <w:rPr/>
      </w:pPr>
      <w:r>
        <w:rPr/>
      </w:r>
    </w:p>
    <w:p>
      <w:pPr>
        <w:pStyle w:val="NoSpacing"/>
        <w:jc w:val="right"/>
        <w:rPr>
          <w:rFonts w:ascii="Arial" w:hAnsi="Arial"/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Spacing"/>
        <w:jc w:val="right"/>
        <w:rPr>
          <w:rFonts w:ascii="Arial" w:hAnsi="Arial"/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outlineLvl w:val="1"/>
        <w:pStyle w:val="ETFRevision1NoSpacing"/>
        <w:jc w:val="right"/>
        <w:rPr>
          <w:rFonts w:ascii="Arial" w:hAnsi="Arial"/>
          <w:b w:val="false"/>
          <w:b w:val="false"/>
          <w:bCs w:val="false"/>
          <w:i w:val="false"/>
          <w:i w:val="false"/>
          <w:iCs w:val="false"/>
          <w:sz w:val="20"/>
          <w:szCs w:val="20"/>
        </w:rPr>
      </w:pPr>
      <w:r>
        <w:rPr>
          <w:rFonts w:ascii="Arial" w:hAnsi="Arial"/>
          <w:b w:val="false"/>
          <w:bCs w:val="false"/>
          <w:i w:val="false"/>
          <w:iCs w:val="false"/>
          <w:sz w:val="20"/>
          <w:szCs w:val="20"/>
        </w:rPr>
        <w:t>TERRITORIAL DELEGATION FOR SOCIAL INCLUSION, YOUTH, FAMILIES AND EQUALITY</w:t>
      </w:r>
    </w:p>
    <w:p>
      <w:pPr>
        <w:pStyle w:val="NoSpacing"/>
        <w:jc w:val="right"/>
        <w:rPr>
          <w:rFonts w:ascii="Arial" w:hAnsi="Arial"/>
          <w:b w:val="false"/>
          <w:b w:val="false"/>
          <w:bCs w:val="false"/>
          <w:i w:val="false"/>
          <w:i w:val="false"/>
          <w:iCs w:val="false"/>
          <w:sz w:val="20"/>
          <w:szCs w:val="20"/>
        </w:rPr>
      </w:pPr>
      <w:r>
        <w:rPr>
          <w:rFonts w:eastAsia="Microsoft YaHei" w:cs="Arial Narrow" w:ascii="Arial" w:hAnsi="Arial"/>
          <w:b w:val="false"/>
          <w:bCs w:val="false"/>
          <w:i w:val="false"/>
          <w:iCs w:val="false"/>
          <w:kern w:val="2"/>
          <w:sz w:val="20"/>
          <w:szCs w:val="20"/>
          <w:lang w:bidi="en-GB" w:val="en-GB"/>
        </w:rPr>
        <w:tab/>
        <w:tab/>
        <w:tab/>
        <w:tab/>
        <w:tab/>
        <w:tab/>
        <w:tab/>
        <w:t xml:space="preserve">                   Family Prevention and Support Service</w:t>
      </w:r>
    </w:p>
    <w:p>
      <w:pPr>
        <w:pStyle w:val="NoSpacing"/>
        <w:jc w:val="both"/>
        <w:rPr>
          <w:rFonts w:ascii="Arial" w:hAnsi="Arial"/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Spacing"/>
        <w:jc w:val="both"/>
        <w:rPr>
          <w:rFonts w:ascii="Arial" w:hAnsi="Arial"/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Arial" w:hAnsi="Arial"/>
          <w:b w:val="false"/>
          <w:bCs w:val="false"/>
          <w:i w:val="false"/>
          <w:iCs w:val="false"/>
          <w:sz w:val="24"/>
          <w:szCs w:val="24"/>
        </w:rPr>
      </w:r>
    </w:p>
    <w:tbl>
      <w:tblPr>
        <w:tblW w:w="15150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082"/>
        <w:gridCol w:w="1082"/>
        <w:gridCol w:w="617"/>
        <w:gridCol w:w="1547"/>
        <w:gridCol w:w="1082"/>
        <w:gridCol w:w="1082"/>
        <w:gridCol w:w="1083"/>
        <w:gridCol w:w="1082"/>
        <w:gridCol w:w="1082"/>
        <w:gridCol w:w="1082"/>
        <w:gridCol w:w="970"/>
        <w:gridCol w:w="1194"/>
        <w:gridCol w:w="1183"/>
        <w:gridCol w:w="981"/>
      </w:tblGrid>
      <w:tr>
        <w:trPr>
          <w:tblHeader/>
        </w:trPr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ETF case number (1)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 xml:space="preserve">Children’s surname, first name and date of birth </w:t>
            </w:r>
          </w:p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(2)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No.</w:t>
            </w:r>
          </w:p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(3)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Guardians / relationship</w:t>
            </w:r>
          </w:p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(4)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Municipality</w:t>
            </w:r>
          </w:p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(5)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Family characteristics</w:t>
            </w:r>
          </w:p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(6)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Referral annex / date</w:t>
            </w:r>
          </w:p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(7)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Referring service</w:t>
            </w:r>
          </w:p>
          <w:p>
            <w:pPr>
              <w:pStyle w:val="NoSpacing"/>
              <w:widowControl w:val="false"/>
              <w:rPr>
                <w:rFonts w:ascii="Calibri" w:hAnsi="Calibri"/>
                <w:b/>
                <w:b/>
                <w:bCs/>
                <w:sz w:val="22"/>
                <w:szCs w:val="22"/>
              </w:rPr>
            </w:pPr>
            <w:r>
              <w:rPr>
                <w:rFonts w:cs="Arial Narrow"/>
                <w:b/>
                <w:bCs/>
                <w:sz w:val="22"/>
                <w:szCs w:val="22"/>
              </w:rPr>
              <w:t>(Case coordinator)</w:t>
            </w:r>
          </w:p>
          <w:p>
            <w:pPr>
              <w:pStyle w:val="NoSpacing"/>
              <w:widowControl w:val="false"/>
              <w:rPr>
                <w:rFonts w:ascii="Calibri" w:hAnsi="Calibri"/>
                <w:b/>
                <w:b/>
                <w:bCs/>
                <w:sz w:val="22"/>
                <w:szCs w:val="22"/>
              </w:rPr>
            </w:pPr>
            <w:r>
              <w:rPr>
                <w:rFonts w:cs="Arial Narrow"/>
                <w:b/>
                <w:bCs/>
                <w:sz w:val="22"/>
                <w:szCs w:val="22"/>
              </w:rPr>
              <w:t>(8)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Dates of Annexes 1, 2, 7 and 8</w:t>
            </w:r>
          </w:p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(9)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Intervention phase</w:t>
            </w:r>
          </w:p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(10)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Duration</w:t>
            </w:r>
          </w:p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(11)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Purpose / prognosis</w:t>
            </w:r>
          </w:p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(12)</w:t>
            </w:r>
          </w:p>
        </w:tc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Assessment instruments</w:t>
            </w:r>
          </w:p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(13)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Closure date / reason</w:t>
            </w:r>
          </w:p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(14)</w:t>
            </w:r>
          </w:p>
        </w:tc>
      </w:tr>
      <w:tr>
        <w:trPr/>
        <w:tc>
          <w:tcPr>
            <w:tcW w:w="10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{{#casos_spaf}}{{numero}}</w:t>
            </w:r>
          </w:p>
        </w:tc>
        <w:tc>
          <w:tcPr>
            <w:tcW w:w="10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{{menores}}</w:t>
            </w:r>
          </w:p>
        </w:tc>
        <w:tc>
          <w:tcPr>
            <w:tcW w:w="61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{{numero_menores}}</w:t>
            </w:r>
          </w:p>
        </w:tc>
        <w:tc>
          <w:tcPr>
            <w:tcW w:w="154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{{guardadores}}</w:t>
            </w:r>
          </w:p>
        </w:tc>
        <w:tc>
          <w:tcPr>
            <w:tcW w:w="10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{{municipio_zts}}</w:t>
            </w:r>
          </w:p>
        </w:tc>
        <w:tc>
          <w:tcPr>
            <w:tcW w:w="10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{{caracteristicas}}</w:t>
            </w:r>
          </w:p>
        </w:tc>
        <w:tc>
          <w:tcPr>
            <w:tcW w:w="10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{{derivacion}}</w:t>
            </w:r>
          </w:p>
        </w:tc>
        <w:tc>
          <w:tcPr>
            <w:tcW w:w="10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{{servicio}}</w:t>
            </w:r>
          </w:p>
        </w:tc>
        <w:tc>
          <w:tcPr>
            <w:tcW w:w="10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{{fechas}}</w:t>
            </w:r>
          </w:p>
        </w:tc>
        <w:tc>
          <w:tcPr>
            <w:tcW w:w="10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{{fase}}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{{temporalizacion}}</w:t>
            </w:r>
          </w:p>
        </w:tc>
        <w:tc>
          <w:tcPr>
            <w:tcW w:w="11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{{finalidad_pronostico}}</w:t>
            </w:r>
          </w:p>
        </w:tc>
        <w:tc>
          <w:tcPr>
            <w:tcW w:w="11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{{instrumentos}}</w:t>
            </w:r>
          </w:p>
        </w:tc>
        <w:tc>
          <w:tcPr>
            <w:tcW w:w="9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{{cierres}}{{/casos_spaf}}</w:t>
            </w:r>
          </w:p>
        </w:tc>
      </w:tr>
    </w:tbl>
    <w:p>
      <w:pPr>
        <w:pStyle w:val="NoSpacing"/>
        <w:jc w:val="both"/>
        <w:rPr>
          <w:rFonts w:ascii="Arial" w:hAnsi="Arial"/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left="0" w:right="0" w:hanging="0"/>
        <w:jc w:val="both"/>
        <w:rPr>
          <w:rFonts w:ascii="Arial" w:hAnsi="Arial"/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left="0" w:right="0" w:hanging="0"/>
        <w:jc w:val="both"/>
        <w:rPr>
          <w:rFonts w:ascii="Arial" w:hAnsi="Arial"/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Arial" w:hAnsi="Arial"/>
          <w:b/>
          <w:bCs/>
          <w:i w:val="false"/>
          <w:iCs w:val="false"/>
          <w:sz w:val="24"/>
          <w:szCs w:val="24"/>
        </w:rPr>
        <w:t>Summary for this month</w:t>
      </w:r>
    </w:p>
    <w:tbl>
      <w:tblPr>
        <w:tblW w:w="15116" w:type="dxa"/>
        <w:jc w:val="righ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750"/>
        <w:gridCol w:w="3795"/>
        <w:gridCol w:w="3785"/>
        <w:gridCol w:w="3785"/>
      </w:tblGrid>
      <w:tr>
        <w:trPr>
          <w:tblHeader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 xml:space="preserve">New cases </w:t>
            </w:r>
            <w:r>
              <w:rPr>
                <w:b/>
                <w:bCs/>
              </w:rPr>
              <w:t>(15)</w:t>
            </w:r>
          </w:p>
        </w:tc>
        <w:tc>
          <w:tcPr>
            <w:tcW w:w="3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 xml:space="preserve">Closed cases </w:t>
            </w:r>
            <w:r>
              <w:rPr>
                <w:b/>
                <w:bCs/>
              </w:rPr>
              <w:t>(16)</w:t>
            </w: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 xml:space="preserve">Total cases </w:t>
            </w:r>
            <w:r>
              <w:rPr>
                <w:b/>
                <w:bCs/>
              </w:rPr>
              <w:t>(17)</w:t>
            </w: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 xml:space="preserve">Total children </w:t>
            </w:r>
            <w:r>
              <w:rPr>
                <w:b/>
                <w:bCs/>
              </w:rPr>
              <w:t>(18)</w:t>
            </w:r>
          </w:p>
        </w:tc>
      </w:tr>
      <w:tr>
        <w:trPr/>
        <w:tc>
          <w:tcPr>
            <w:tcW w:w="37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{{altas}}</w:t>
            </w:r>
          </w:p>
        </w:tc>
        <w:tc>
          <w:tcPr>
            <w:tcW w:w="3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{{bajas}}</w:t>
            </w:r>
          </w:p>
        </w:tc>
        <w:tc>
          <w:tcPr>
            <w:tcW w:w="3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{{casos}}</w:t>
            </w:r>
          </w:p>
        </w:tc>
        <w:tc>
          <w:tcPr>
            <w:tcW w:w="37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{{menores}}</w:t>
            </w:r>
          </w:p>
        </w:tc>
      </w:tr>
    </w:tbl>
    <w:p>
      <w:pPr>
        <w:pStyle w:val="Normal"/>
        <w:widowControl/>
        <w:bidi w:val="0"/>
        <w:spacing w:lineRule="auto" w:line="240" w:before="0" w:after="0"/>
        <w:ind w:left="0" w:right="0" w:hanging="0"/>
        <w:jc w:val="both"/>
        <w:rPr>
          <w:rFonts w:ascii="Arial" w:hAnsi="Arial"/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Spacing"/>
        <w:rPr>
          <w:b/>
          <w:b/>
          <w:bCs/>
          <w:sz w:val="18"/>
          <w:szCs w:val="18"/>
        </w:rPr>
      </w:pPr>
      <w:r>
        <w:rPr>
          <w:b/>
          <w:bCs/>
          <w:sz w:val="18"/>
          <w:szCs w:val="18"/>
        </w:rPr>
      </w:r>
      <w:r>
        <w:br w:type="page"/>
      </w:r>
    </w:p>
    <w:p>
      <w:pPr>
        <w:pStyle w:val="NoSpacing"/>
        <w:rPr>
          <w:rFonts w:ascii="Calibri" w:hAnsi="Calibri"/>
        </w:rPr>
      </w:pPr>
      <w:r>
        <w:rPr>
          <w:b/>
          <w:bCs/>
          <w:sz w:val="18"/>
          <w:szCs w:val="18"/>
        </w:rPr>
        <w:t>Instructions: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 xml:space="preserve">(1). </w:t>
      </w:r>
      <w:r>
        <w:rPr>
          <w:rFonts w:cs="Arial Narrow"/>
          <w:sz w:val="18"/>
          <w:szCs w:val="18"/>
        </w:rPr>
        <w:t xml:space="preserve"/>
      </w:r>
      <w:r>
        <w:rPr>
          <w:rFonts w:cs="Arial Narrow"/>
          <w:b/>
          <w:bCs/>
          <w:sz w:val="18"/>
          <w:szCs w:val="18"/>
        </w:rPr>
        <w:t xml:space="preserve">Case no.: </w:t>
      </w:r>
      <w:r>
        <w:rPr>
          <w:rFonts w:cs="Arial Narrow"/>
          <w:sz w:val="18"/>
          <w:szCs w:val="18"/>
        </w:rPr>
        <w:t>Case number assigned by each family treatment team.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/>
      </w:r>
      <w:r>
        <w:rPr>
          <w:rFonts w:cs="Arial Narrow"/>
          <w:sz w:val="18"/>
          <w:szCs w:val="18"/>
        </w:rPr>
        <w:t xml:space="preserve">(2). </w:t>
      </w:r>
      <w:r>
        <w:rPr>
          <w:rFonts w:cs="Arial Narrow"/>
          <w:b/>
          <w:bCs/>
          <w:sz w:val="18"/>
          <w:szCs w:val="18"/>
        </w:rPr>
        <w:t xml:space="preserve">Surname, first name, date of </w:t>
      </w:r>
      <w:r>
        <w:rPr>
          <w:rFonts w:cs="Arial Narrow"/>
          <w:sz w:val="18"/>
          <w:szCs w:val="18"/>
        </w:rPr>
        <w:t>birth: Surname, first name and date of birth of each child in the case.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 xml:space="preserve">(3). </w:t>
      </w:r>
      <w:r>
        <w:rPr>
          <w:rFonts w:cs="Arial Narrow"/>
          <w:sz w:val="18"/>
          <w:szCs w:val="18"/>
        </w:rPr>
        <w:t xml:space="preserve"/>
      </w:r>
      <w:r>
        <w:rPr>
          <w:rFonts w:cs="Arial Narrow"/>
          <w:b/>
          <w:bCs/>
          <w:sz w:val="18"/>
          <w:szCs w:val="18"/>
        </w:rPr>
        <w:t xml:space="preserve">No.: </w:t>
      </w:r>
      <w:r>
        <w:rPr>
          <w:rFonts w:cs="Arial Narrow"/>
          <w:sz w:val="18"/>
          <w:szCs w:val="18"/>
        </w:rPr>
        <w:t>Number of children in the case.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 xml:space="preserve">(4). </w:t>
      </w:r>
      <w:r>
        <w:rPr>
          <w:rFonts w:cs="Arial Narrow"/>
          <w:sz w:val="18"/>
          <w:szCs w:val="18"/>
        </w:rPr>
        <w:t xml:space="preserve"/>
      </w:r>
      <w:r>
        <w:rPr>
          <w:rFonts w:cs="Arial Narrow"/>
          <w:b/>
          <w:bCs/>
          <w:sz w:val="18"/>
          <w:szCs w:val="18"/>
        </w:rPr>
        <w:t xml:space="preserve">Guardians / relationship: </w:t>
      </w:r>
      <w:r>
        <w:rPr>
          <w:rFonts w:cs="Arial Narrow"/>
          <w:sz w:val="18"/>
          <w:szCs w:val="18"/>
        </w:rPr>
        <w:t xml:space="preserve">Names of the people caring for the children and their relationship to them. If the children are in residential care, name the centres.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>(5). Municipality: municipality of the family in the case.</w:t>
      </w:r>
      <w:r>
        <w:rPr>
          <w:rFonts w:cs="Arial Narrow"/>
          <w:sz w:val="18"/>
          <w:szCs w:val="18"/>
        </w:rPr>
        <w:t xml:space="preserve"/>
      </w:r>
      <w:r>
        <w:rPr>
          <w:rFonts w:cs="Arial Narrow"/>
          <w:b/>
          <w:bCs/>
          <w:sz w:val="18"/>
          <w:szCs w:val="18"/>
        </w:rPr>
        <w:t/>
      </w:r>
      <w:r>
        <w:rPr>
          <w:rFonts w:cs="Arial Narrow"/>
          <w:sz w:val="18"/>
          <w:szCs w:val="18"/>
        </w:rPr>
        <w:t/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 xml:space="preserve">(6). </w:t>
      </w:r>
      <w:r>
        <w:rPr>
          <w:rFonts w:cs="Arial Narrow"/>
          <w:sz w:val="18"/>
          <w:szCs w:val="18"/>
        </w:rPr>
        <w:t xml:space="preserve"/>
      </w:r>
      <w:r>
        <w:rPr>
          <w:rFonts w:cs="Arial Narrow"/>
          <w:b/>
          <w:bCs/>
          <w:sz w:val="18"/>
          <w:szCs w:val="18"/>
        </w:rPr>
        <w:t xml:space="preserve">Family characteristics: </w:t>
      </w:r>
      <w:r>
        <w:rPr>
          <w:rFonts w:cs="Arial Narrow"/>
          <w:sz w:val="18"/>
          <w:szCs w:val="18"/>
        </w:rPr>
        <w:t xml:space="preserve">Characteristics of the family eligible for </w:t>
      </w:r>
      <w:r>
        <w:rPr>
          <w:rFonts w:cs="Arial Narrow"/>
          <w:b w:val="false"/>
          <w:bCs w:val="false"/>
          <w:sz w:val="18"/>
          <w:szCs w:val="18"/>
        </w:rPr>
        <w:t xml:space="preserve">the programme. Select </w:t>
      </w:r>
      <w:r>
        <w:rPr>
          <w:rFonts w:cs="Arial Narrow"/>
          <w:b w:val="false"/>
          <w:bCs w:val="false"/>
          <w:i/>
          <w:iCs/>
          <w:sz w:val="18"/>
          <w:szCs w:val="18"/>
        </w:rPr>
        <w:t xml:space="preserve"/>
      </w:r>
      <w:r>
        <w:rPr>
          <w:rFonts w:cs="Arial Narrow"/>
          <w:sz w:val="18"/>
          <w:szCs w:val="18"/>
        </w:rPr>
        <w:t>all that apply:</w:t>
      </w:r>
    </w:p>
    <w:p>
      <w:pPr>
        <w:pStyle w:val="NoSpacing"/>
        <w:widowControl/>
        <w:numPr>
          <w:ilvl w:val="0"/>
          <w:numId w:val="1"/>
        </w:numPr>
        <w:bidi w:val="0"/>
        <w:spacing w:lineRule="auto" w:line="240" w:before="0" w:after="0"/>
        <w:ind w:left="737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Social risk.</w:t>
      </w:r>
    </w:p>
    <w:p>
      <w:pPr>
        <w:pStyle w:val="NoSpacing"/>
        <w:widowControl/>
        <w:numPr>
          <w:ilvl w:val="0"/>
          <w:numId w:val="1"/>
        </w:numPr>
        <w:bidi w:val="0"/>
        <w:spacing w:lineRule="auto" w:line="240" w:before="0" w:after="0"/>
        <w:ind w:left="737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Single-parent family.</w:t>
      </w:r>
    </w:p>
    <w:p>
      <w:pPr>
        <w:pStyle w:val="NoSpacing"/>
        <w:widowControl/>
        <w:numPr>
          <w:ilvl w:val="0"/>
          <w:numId w:val="1"/>
        </w:numPr>
        <w:bidi w:val="0"/>
        <w:spacing w:lineRule="auto" w:line="240" w:before="0" w:after="0"/>
        <w:ind w:left="737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Domestic violence.</w:t>
      </w:r>
    </w:p>
    <w:p>
      <w:pPr>
        <w:pStyle w:val="NoSpacing"/>
        <w:widowControl/>
        <w:numPr>
          <w:ilvl w:val="0"/>
          <w:numId w:val="1"/>
        </w:numPr>
        <w:bidi w:val="0"/>
        <w:spacing w:lineRule="auto" w:line="240" w:before="0" w:after="0"/>
        <w:ind w:left="737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Children in the protection system.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 xml:space="preserve">(7). </w:t>
      </w:r>
      <w:r>
        <w:rPr>
          <w:rFonts w:cs="Arial Narrow"/>
          <w:sz w:val="18"/>
          <w:szCs w:val="18"/>
        </w:rPr>
        <w:t xml:space="preserve"/>
      </w:r>
      <w:r>
        <w:rPr>
          <w:rFonts w:cs="Arial Narrow"/>
          <w:b/>
          <w:bCs/>
          <w:sz w:val="18"/>
          <w:szCs w:val="18"/>
        </w:rPr>
        <w:t xml:space="preserve">Referral annex / </w:t>
      </w:r>
      <w:r>
        <w:rPr>
          <w:rFonts w:cs="Arial Narrow"/>
          <w:sz w:val="18"/>
          <w:szCs w:val="18"/>
        </w:rPr>
        <w:t xml:space="preserve">date: Referral annex and its </w:t>
      </w:r>
      <w:r>
        <w:rPr>
          <w:rFonts w:cs="Arial Narrow"/>
          <w:b w:val="false"/>
          <w:bCs w:val="false"/>
          <w:sz w:val="18"/>
          <w:szCs w:val="18"/>
        </w:rPr>
        <w:t xml:space="preserve">date. Options: </w:t>
      </w:r>
    </w:p>
    <w:p>
      <w:pPr>
        <w:pStyle w:val="NoSpacing"/>
        <w:numPr>
          <w:ilvl w:val="0"/>
          <w:numId w:val="8"/>
        </w:numPr>
        <w:rPr>
          <w:i w:val="false"/>
          <w:i w:val="false"/>
          <w:iCs w:val="false"/>
        </w:rPr>
      </w:pPr>
      <w:r>
        <w:rPr>
          <w:rFonts w:cs="Arial Narrow"/>
          <w:i w:val="false"/>
          <w:iCs w:val="false"/>
          <w:sz w:val="18"/>
          <w:szCs w:val="18"/>
        </w:rPr>
        <w:t>Annex 3 (Referral from community social services to the family treatment team).</w:t>
      </w:r>
    </w:p>
    <w:p>
      <w:pPr>
        <w:pStyle w:val="NoSpacing"/>
        <w:numPr>
          <w:ilvl w:val="0"/>
          <w:numId w:val="8"/>
        </w:numPr>
        <w:rPr>
          <w:i w:val="false"/>
          <w:i w:val="false"/>
          <w:iCs w:val="false"/>
        </w:rPr>
      </w:pPr>
      <w:r>
        <w:rPr>
          <w:rFonts w:cs="Arial Narrow"/>
          <w:i w:val="false"/>
          <w:iCs w:val="false"/>
          <w:sz w:val="18"/>
          <w:szCs w:val="18"/>
        </w:rPr>
        <w:t>Annex 4 (Referral from the SPM to the family treatment team).</w:t>
      </w:r>
    </w:p>
    <w:p>
      <w:pPr>
        <w:pStyle w:val="NoSpacing"/>
        <w:numPr>
          <w:ilvl w:val="0"/>
          <w:numId w:val="8"/>
        </w:numPr>
        <w:rPr>
          <w:i w:val="false"/>
          <w:i w:val="false"/>
          <w:iCs w:val="false"/>
        </w:rPr>
      </w:pPr>
      <w:r>
        <w:rPr>
          <w:rFonts w:cs="Arial Narrow"/>
          <w:i w:val="false"/>
          <w:iCs w:val="false"/>
          <w:sz w:val="18"/>
          <w:szCs w:val="18"/>
        </w:rPr>
        <w:t>Annex 5 (Referral from the family treatment team to the SPM).</w:t>
      </w:r>
    </w:p>
    <w:p>
      <w:pPr>
        <w:pStyle w:val="NoSpacing"/>
        <w:numPr>
          <w:ilvl w:val="0"/>
          <w:numId w:val="8"/>
        </w:numPr>
        <w:rPr>
          <w:i w:val="false"/>
          <w:i w:val="false"/>
          <w:iCs w:val="false"/>
        </w:rPr>
      </w:pPr>
      <w:r>
        <w:rPr>
          <w:rFonts w:cs="Arial Narrow"/>
          <w:i w:val="false"/>
          <w:iCs w:val="false"/>
          <w:sz w:val="18"/>
          <w:szCs w:val="18"/>
        </w:rPr>
        <w:t>Annex 6 (Referral from the family treatment team to another service).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 xml:space="preserve">(8). </w:t>
      </w:r>
      <w:r>
        <w:rPr>
          <w:rFonts w:cs="Arial Narrow"/>
          <w:sz w:val="18"/>
          <w:szCs w:val="18"/>
        </w:rPr>
        <w:t xml:space="preserve"/>
      </w:r>
      <w:r>
        <w:rPr>
          <w:rFonts w:cs="Arial Narrow"/>
          <w:b/>
          <w:bCs/>
          <w:sz w:val="18"/>
          <w:szCs w:val="18"/>
        </w:rPr>
        <w:t xml:space="preserve">Referring service (Case coordinator): </w:t>
      </w:r>
      <w:r>
        <w:rPr>
          <w:rFonts w:cs="Arial Narrow"/>
          <w:sz w:val="18"/>
          <w:szCs w:val="18"/>
        </w:rPr>
        <w:t xml:space="preserve">Referring service and the coordinator responsible for the case within social services or the </w:t>
      </w:r>
      <w:r>
        <w:rPr>
          <w:rFonts w:cs="Arial Narrow"/>
          <w:b w:val="false"/>
          <w:bCs w:val="false"/>
          <w:sz w:val="18"/>
          <w:szCs w:val="18"/>
        </w:rPr>
        <w:t xml:space="preserve">SPM. Options: </w:t>
      </w:r>
      <w:r>
        <w:rPr>
          <w:rFonts w:cs="Arial Narrow"/>
          <w:sz w:val="18"/>
          <w:szCs w:val="18"/>
        </w:rPr>
        <w:t xml:space="preserve"/>
      </w:r>
    </w:p>
    <w:p>
      <w:pPr>
        <w:pStyle w:val="NoSpacing"/>
        <w:widowControl/>
        <w:numPr>
          <w:ilvl w:val="0"/>
          <w:numId w:val="2"/>
        </w:numPr>
        <w:bidi w:val="0"/>
        <w:spacing w:lineRule="auto" w:line="240" w:before="0" w:after="0"/>
        <w:ind w:left="737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</w:rPr>
      </w:pPr>
      <w:r>
        <w:rPr>
          <w:rFonts w:cs="Arial Narrow"/>
          <w:i w:val="false"/>
          <w:iCs w:val="false"/>
          <w:sz w:val="18"/>
          <w:szCs w:val="18"/>
        </w:rPr>
        <w:t xml:space="preserve">Child Protection Service. </w:t>
      </w:r>
    </w:p>
    <w:p>
      <w:pPr>
        <w:pStyle w:val="NoSpacing"/>
        <w:widowControl/>
        <w:numPr>
          <w:ilvl w:val="0"/>
          <w:numId w:val="2"/>
        </w:numPr>
        <w:bidi w:val="0"/>
        <w:spacing w:lineRule="auto" w:line="240" w:before="0" w:after="0"/>
        <w:ind w:left="737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Community social services.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 xml:space="preserve">(9). </w:t>
      </w:r>
      <w:r>
        <w:rPr>
          <w:rFonts w:cs="Arial Narrow"/>
          <w:sz w:val="18"/>
          <w:szCs w:val="18"/>
        </w:rPr>
        <w:t xml:space="preserve"/>
      </w:r>
      <w:r>
        <w:rPr>
          <w:rFonts w:cs="Arial Narrow"/>
          <w:b/>
          <w:bCs/>
          <w:sz w:val="18"/>
          <w:szCs w:val="18"/>
        </w:rPr>
        <w:t>Annex dates:</w:t>
      </w:r>
    </w:p>
    <w:p>
      <w:pPr>
        <w:pStyle w:val="NoSpacing"/>
        <w:numPr>
          <w:ilvl w:val="0"/>
          <w:numId w:val="9"/>
        </w:numPr>
        <w:rPr>
          <w:b w:val="false"/>
          <w:b w:val="false"/>
          <w:bCs w:val="false"/>
        </w:rPr>
      </w:pPr>
      <w:r>
        <w:rPr>
          <w:rFonts w:cs="Arial Narrow"/>
          <w:b w:val="false"/>
          <w:bCs w:val="false"/>
          <w:sz w:val="18"/>
          <w:szCs w:val="18"/>
        </w:rPr>
        <w:t>Acceptance record.</w:t>
      </w:r>
    </w:p>
    <w:p>
      <w:pPr>
        <w:pStyle w:val="NoSpacing"/>
        <w:numPr>
          <w:ilvl w:val="0"/>
          <w:numId w:val="9"/>
        </w:numPr>
        <w:rPr>
          <w:b w:val="false"/>
          <w:b w:val="false"/>
          <w:bCs w:val="false"/>
        </w:rPr>
      </w:pPr>
      <w:r>
        <w:rPr>
          <w:rFonts w:cs="Arial Narrow"/>
          <w:b w:val="false"/>
          <w:bCs w:val="false"/>
          <w:sz w:val="18"/>
          <w:szCs w:val="18"/>
        </w:rPr>
        <w:t>Annex 1 (Informed consent, risk subprogramme).</w:t>
      </w:r>
    </w:p>
    <w:p>
      <w:pPr>
        <w:pStyle w:val="NoSpacing"/>
        <w:numPr>
          <w:ilvl w:val="0"/>
          <w:numId w:val="9"/>
        </w:numPr>
        <w:rPr>
          <w:b w:val="false"/>
          <w:b w:val="false"/>
          <w:bCs w:val="false"/>
        </w:rPr>
      </w:pPr>
      <w:r>
        <w:rPr>
          <w:rFonts w:cs="Arial Narrow"/>
          <w:b w:val="false"/>
          <w:bCs w:val="false"/>
          <w:sz w:val="18"/>
          <w:szCs w:val="18"/>
        </w:rPr>
        <w:t>Annex 2 (Informed consent, reunification subprogramme).</w:t>
      </w:r>
    </w:p>
    <w:p>
      <w:pPr>
        <w:pStyle w:val="NoSpacing"/>
        <w:numPr>
          <w:ilvl w:val="0"/>
          <w:numId w:val="9"/>
        </w:numPr>
        <w:rPr>
          <w:b w:val="false"/>
          <w:b w:val="false"/>
          <w:bCs w:val="false"/>
        </w:rPr>
      </w:pPr>
      <w:r>
        <w:rPr>
          <w:rFonts w:cs="Arial Narrow"/>
          <w:b w:val="false"/>
          <w:bCs w:val="false"/>
          <w:sz w:val="18"/>
          <w:szCs w:val="18"/>
        </w:rPr>
        <w:t>Annex 7 (Intervention plan, risk subprogramme).</w:t>
      </w:r>
    </w:p>
    <w:p>
      <w:pPr>
        <w:pStyle w:val="NoSpacing"/>
        <w:numPr>
          <w:ilvl w:val="0"/>
          <w:numId w:val="9"/>
        </w:numPr>
        <w:rPr>
          <w:b w:val="false"/>
          <w:b w:val="false"/>
          <w:bCs w:val="false"/>
        </w:rPr>
      </w:pPr>
      <w:r>
        <w:rPr>
          <w:rFonts w:cs="Arial Narrow"/>
          <w:b w:val="false"/>
          <w:bCs w:val="false"/>
          <w:sz w:val="18"/>
          <w:szCs w:val="18"/>
        </w:rPr>
        <w:t>Annex 8 (Intervention plan, reunification subprogramme).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sz w:val="18"/>
          <w:szCs w:val="18"/>
        </w:rPr>
        <w:t>The case file must contain the annexes required for its current phase.</w:t>
      </w:r>
    </w:p>
    <w:p>
      <w:pPr>
        <w:pStyle w:val="NoSpacing"/>
        <w:rPr>
          <w:rFonts w:cs="Arial Narrow"/>
        </w:rPr>
      </w:pPr>
      <w:r>
        <w:rPr>
          <w:rFonts w:cs="Arial Narrow"/>
        </w:rPr>
      </w:r>
    </w:p>
    <w:p>
      <w:pPr>
        <w:pStyle w:val="NoSpacing"/>
        <w:rPr>
          <w:rFonts w:cs="Arial Narrow"/>
        </w:rPr>
      </w:pPr>
      <w:r>
        <w:rPr>
          <w:rFonts w:cs="Arial Narrow"/>
          <w:b/>
          <w:bCs/>
          <w:sz w:val="18"/>
          <w:szCs w:val="18"/>
        </w:rPr>
        <w:t xml:space="preserve">(10). </w:t>
      </w:r>
      <w:r>
        <w:rPr>
          <w:rFonts w:cs="Arial Narrow"/>
          <w:sz w:val="18"/>
          <w:szCs w:val="18"/>
        </w:rPr>
        <w:t xml:space="preserve"/>
      </w:r>
      <w:r>
        <w:rPr>
          <w:rFonts w:cs="Arial Narrow"/>
          <w:b/>
          <w:bCs/>
          <w:sz w:val="18"/>
          <w:szCs w:val="18"/>
        </w:rPr>
        <w:t/>
      </w:r>
      <w:r>
        <w:rPr>
          <w:rFonts w:cs="Arial Narrow"/>
          <w:b/>
          <w:bCs/>
          <w:sz w:val="18"/>
          <w:szCs w:val="18"/>
          <w:shd w:fill="auto" w:val="clear"/>
        </w:rPr>
        <w:t xml:space="preserve">Intervention </w:t>
      </w:r>
      <w:r>
        <w:rPr>
          <w:rFonts w:cs="Arial Narrow"/>
          <w:sz w:val="18"/>
          <w:szCs w:val="18"/>
          <w:shd w:fill="auto" w:val="clear"/>
        </w:rPr>
        <w:t xml:space="preserve">phase: Current phase of the intervention. </w:t>
      </w:r>
      <w:r>
        <w:rPr>
          <w:rFonts w:cs="Arial Narrow"/>
          <w:b w:val="false"/>
          <w:bCs w:val="false"/>
          <w:sz w:val="18"/>
          <w:szCs w:val="18"/>
          <w:shd w:fill="auto" w:val="clear"/>
        </w:rPr>
        <w:t>Options:</w:t>
      </w:r>
    </w:p>
    <w:p>
      <w:pPr>
        <w:pStyle w:val="Textopreformateado"/>
        <w:widowControl/>
        <w:numPr>
          <w:ilvl w:val="0"/>
          <w:numId w:val="0"/>
        </w:numPr>
        <w:bidi w:val="0"/>
        <w:spacing w:lineRule="auto" w:line="240" w:before="0" w:after="0"/>
        <w:ind w:right="0" w:hanging="0"/>
        <w:jc w:val="left"/>
        <w:rPr>
          <w:rFonts w:ascii="Arial" w:hAnsi="Arial"/>
          <w:i w:val="false"/>
          <w:i w:val="false"/>
          <w:iCs w:val="false"/>
          <w:sz w:val="18"/>
          <w:szCs w:val="18"/>
          <w:shd w:fill="auto" w:val="clear"/>
        </w:rPr>
      </w:pPr>
      <w:r>
        <w:rPr>
          <w:rFonts w:cs="Arial Narrow" w:ascii="Arial" w:hAnsi="Arial"/>
          <w:b/>
          <w:bCs/>
          <w:i w:val="false"/>
          <w:iCs w:val="false"/>
          <w:sz w:val="18"/>
          <w:szCs w:val="18"/>
          <w:shd w:fill="auto" w:val="clear"/>
        </w:rPr>
        <w:t xml:space="preserve">      </w:t>
      </w:r>
      <w:r>
        <w:rPr>
          <w:rFonts w:cs="Arial Narrow" w:ascii="Arial" w:hAnsi="Arial"/>
          <w:b/>
          <w:bCs/>
          <w:i w:val="false"/>
          <w:iCs w:val="false"/>
          <w:sz w:val="18"/>
          <w:szCs w:val="18"/>
          <w:shd w:fill="auto" w:val="clear"/>
        </w:rPr>
        <w:t xml:space="preserve">RISK subprogramme  </w:t>
      </w:r>
    </w:p>
    <w:p>
      <w:pPr>
        <w:pStyle w:val="NoSpacing"/>
        <w:widowControl/>
        <w:numPr>
          <w:ilvl w:val="0"/>
          <w:numId w:val="3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  <w:shd w:fill="auto" w:val="clear"/>
        </w:rPr>
      </w:pPr>
      <w:r>
        <w:rPr>
          <w:rFonts w:cs="Arial Narrow"/>
          <w:i w:val="false"/>
          <w:iCs w:val="false"/>
          <w:sz w:val="18"/>
          <w:szCs w:val="18"/>
          <w:shd w:fill="auto" w:val="clear"/>
        </w:rPr>
        <w:t>Reception (up to 30 days).</w:t>
      </w:r>
    </w:p>
    <w:p>
      <w:pPr>
        <w:pStyle w:val="NoSpacing"/>
        <w:widowControl/>
        <w:numPr>
          <w:ilvl w:val="0"/>
          <w:numId w:val="3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  <w:shd w:fill="auto" w:val="clear"/>
        </w:rPr>
      </w:pPr>
      <w:r>
        <w:rPr>
          <w:rFonts w:cs="Arial Narrow"/>
          <w:i w:val="false"/>
          <w:iCs w:val="false"/>
          <w:sz w:val="18"/>
          <w:szCs w:val="18"/>
          <w:shd w:fill="auto" w:val="clear"/>
        </w:rPr>
        <w:t>Assessment (3 months).</w:t>
      </w:r>
    </w:p>
    <w:p>
      <w:pPr>
        <w:pStyle w:val="NoSpacing"/>
        <w:widowControl/>
        <w:numPr>
          <w:ilvl w:val="0"/>
          <w:numId w:val="3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Intervention (15 months, extendable to 18 months).</w:t>
      </w:r>
    </w:p>
    <w:p>
      <w:pPr>
        <w:pStyle w:val="NoSpacing"/>
        <w:widowControl/>
        <w:numPr>
          <w:ilvl w:val="0"/>
          <w:numId w:val="3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Closure and feedback (1.5 months).</w:t>
      </w:r>
    </w:p>
    <w:p>
      <w:pPr>
        <w:pStyle w:val="NoSpacing"/>
        <w:widowControl/>
        <w:numPr>
          <w:ilvl w:val="0"/>
          <w:numId w:val="3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Follow-up (after 4 months).</w:t>
      </w:r>
    </w:p>
    <w:p>
      <w:pPr>
        <w:pStyle w:val="NoSpacing"/>
        <w:widowControl/>
        <w:bidi w:val="0"/>
        <w:spacing w:lineRule="auto" w:line="240" w:before="0" w:after="0"/>
        <w:ind w:right="0" w:hanging="0"/>
        <w:jc w:val="left"/>
        <w:rPr>
          <w:rFonts w:ascii="Calibri" w:hAnsi="Calibri"/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</w:r>
    </w:p>
    <w:p>
      <w:pPr>
        <w:pStyle w:val="Textopreformateado"/>
        <w:widowControl/>
        <w:numPr>
          <w:ilvl w:val="0"/>
          <w:numId w:val="0"/>
        </w:numPr>
        <w:bidi w:val="0"/>
        <w:spacing w:lineRule="auto" w:line="240" w:before="0" w:after="0"/>
        <w:ind w:right="0" w:hanging="0"/>
        <w:jc w:val="left"/>
        <w:rPr>
          <w:rFonts w:ascii="Arial" w:hAnsi="Arial"/>
          <w:i w:val="false"/>
          <w:i w:val="false"/>
          <w:iCs w:val="false"/>
          <w:sz w:val="18"/>
          <w:szCs w:val="18"/>
          <w:shd w:fill="auto" w:val="clear"/>
        </w:rPr>
      </w:pPr>
      <w:r>
        <w:rPr>
          <w:rFonts w:cs="Arial Narrow" w:ascii="Arial" w:hAnsi="Arial"/>
          <w:b/>
          <w:bCs/>
          <w:i w:val="false"/>
          <w:iCs w:val="false"/>
          <w:sz w:val="18"/>
          <w:szCs w:val="18"/>
          <w:shd w:fill="auto" w:val="clear"/>
        </w:rPr>
        <w:t xml:space="preserve">      </w:t>
      </w:r>
      <w:r>
        <w:rPr>
          <w:rFonts w:cs="Arial Narrow" w:ascii="Arial" w:hAnsi="Arial"/>
          <w:b/>
          <w:bCs/>
          <w:i w:val="false"/>
          <w:iCs w:val="false"/>
          <w:sz w:val="18"/>
          <w:szCs w:val="18"/>
          <w:shd w:fill="auto" w:val="clear"/>
        </w:rPr>
        <w:t xml:space="preserve">REUNIFICATION subprogramme  </w:t>
      </w:r>
    </w:p>
    <w:p>
      <w:pPr>
        <w:pStyle w:val="NoSpacing"/>
        <w:widowControl/>
        <w:numPr>
          <w:ilvl w:val="0"/>
          <w:numId w:val="3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  <w:shd w:fill="auto" w:val="clear"/>
        </w:rPr>
      </w:pPr>
      <w:r>
        <w:rPr>
          <w:rFonts w:cs="Arial Narrow"/>
          <w:i w:val="false"/>
          <w:iCs w:val="false"/>
          <w:sz w:val="18"/>
          <w:szCs w:val="18"/>
          <w:shd w:fill="auto" w:val="clear"/>
        </w:rPr>
        <w:t>Reception (up to 30 days).</w:t>
      </w:r>
    </w:p>
    <w:p>
      <w:pPr>
        <w:pStyle w:val="NoSpacing"/>
        <w:widowControl/>
        <w:numPr>
          <w:ilvl w:val="0"/>
          <w:numId w:val="3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  <w:shd w:fill="auto" w:val="clear"/>
        </w:rPr>
      </w:pPr>
      <w:r>
        <w:rPr>
          <w:rFonts w:cs="Arial Narrow"/>
          <w:i w:val="false"/>
          <w:iCs w:val="false"/>
          <w:sz w:val="18"/>
          <w:szCs w:val="18"/>
          <w:shd w:fill="auto" w:val="clear"/>
        </w:rPr>
        <w:t>Assessment (1.5 months).</w:t>
      </w:r>
    </w:p>
    <w:p>
      <w:pPr>
        <w:pStyle w:val="NoSpacing"/>
        <w:widowControl/>
        <w:numPr>
          <w:ilvl w:val="0"/>
          <w:numId w:val="3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Intervention (6 months, extendable to 12 months).</w:t>
      </w:r>
    </w:p>
    <w:p>
      <w:pPr>
        <w:pStyle w:val="NoSpacing"/>
        <w:widowControl/>
        <w:numPr>
          <w:ilvl w:val="0"/>
          <w:numId w:val="3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Closure and feedback (1 month).</w:t>
      </w:r>
    </w:p>
    <w:p>
      <w:pPr>
        <w:pStyle w:val="NoSpacing"/>
        <w:widowControl/>
        <w:numPr>
          <w:ilvl w:val="0"/>
          <w:numId w:val="3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Follow-up (4 months after the family treatment team closes the case, and 12 months after the protection measure ends).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/>
      </w:r>
      <w:r>
        <w:rPr>
          <w:rFonts w:cs="Arial Narrow"/>
          <w:sz w:val="18"/>
          <w:szCs w:val="18"/>
        </w:rPr>
        <w:t xml:space="preserve"/>
      </w:r>
      <w:r>
        <w:rPr>
          <w:rFonts w:cs="Arial Narrow"/>
          <w:b/>
          <w:bCs/>
          <w:sz w:val="18"/>
          <w:szCs w:val="18"/>
        </w:rPr>
        <w:t xml:space="preserve">(11). </w:t>
      </w:r>
      <w:r>
        <w:rPr>
          <w:rFonts w:cs="Arial Narrow"/>
          <w:sz w:val="18"/>
          <w:szCs w:val="18"/>
        </w:rPr>
        <w:t xml:space="preserve">Duration: Intervention period specified in the intervention plan.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 xml:space="preserve">(12). </w:t>
      </w:r>
      <w:r>
        <w:rPr>
          <w:rFonts w:cs="Arial Narrow"/>
          <w:sz w:val="18"/>
          <w:szCs w:val="18"/>
        </w:rPr>
        <w:t xml:space="preserve"/>
      </w:r>
      <w:r>
        <w:rPr>
          <w:rFonts w:cs="Arial Narrow"/>
          <w:b/>
          <w:bCs/>
          <w:sz w:val="18"/>
          <w:szCs w:val="18"/>
        </w:rPr>
        <w:t xml:space="preserve">Purpose / prognosis: </w:t>
      </w:r>
      <w:r>
        <w:rPr>
          <w:rFonts w:cs="Arial Narrow"/>
          <w:sz w:val="18"/>
          <w:szCs w:val="18"/>
        </w:rPr>
        <w:t xml:space="preserve"/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sz w:val="18"/>
          <w:szCs w:val="18"/>
        </w:rPr>
        <w:t xml:space="preserve">- Purpose or aim of the </w:t>
      </w:r>
      <w:r>
        <w:rPr>
          <w:rFonts w:cs="Arial Narrow"/>
          <w:b/>
          <w:bCs/>
          <w:sz w:val="18"/>
          <w:szCs w:val="18"/>
        </w:rPr>
        <w:t xml:space="preserve">intervention. </w:t>
      </w:r>
      <w:r>
        <w:rPr>
          <w:rFonts w:cs="Arial Narrow"/>
          <w:b w:val="false"/>
          <w:bCs w:val="false"/>
          <w:sz w:val="18"/>
          <w:szCs w:val="18"/>
        </w:rPr>
        <w:t xml:space="preserve">Select </w:t>
      </w:r>
      <w:r>
        <w:rPr>
          <w:rFonts w:cs="Arial Narrow"/>
          <w:sz w:val="18"/>
          <w:szCs w:val="18"/>
        </w:rPr>
        <w:t>all that apply:</w:t>
      </w:r>
    </w:p>
    <w:p>
      <w:pPr>
        <w:pStyle w:val="NoSpacing"/>
        <w:widowControl/>
        <w:numPr>
          <w:ilvl w:val="0"/>
          <w:numId w:val="4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</w:rPr>
      </w:pPr>
      <w:r>
        <w:rPr>
          <w:rFonts w:cs="Arial Narrow"/>
          <w:i w:val="false"/>
          <w:iCs w:val="false"/>
          <w:sz w:val="18"/>
          <w:szCs w:val="18"/>
        </w:rPr>
        <w:t xml:space="preserve">Treatment to prevent separation (referred by community social services).  </w:t>
      </w:r>
    </w:p>
    <w:p>
      <w:pPr>
        <w:pStyle w:val="NoSpacing"/>
        <w:widowControl/>
        <w:numPr>
          <w:ilvl w:val="0"/>
          <w:numId w:val="4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</w:rPr>
      </w:pPr>
      <w:r>
        <w:rPr>
          <w:rFonts w:cs="Arial Narrow"/>
          <w:i w:val="false"/>
          <w:iCs w:val="false"/>
          <w:sz w:val="18"/>
          <w:szCs w:val="18"/>
        </w:rPr>
        <w:t>Treatment to prevent separation (referred by child protection services).</w:t>
      </w:r>
    </w:p>
    <w:p>
      <w:pPr>
        <w:pStyle w:val="NoSpacing"/>
        <w:widowControl/>
        <w:numPr>
          <w:ilvl w:val="0"/>
          <w:numId w:val="4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</w:rPr>
      </w:pPr>
      <w:r>
        <w:rPr>
          <w:i w:val="false"/>
          <w:iCs w:val="false"/>
          <w:sz w:val="18"/>
          <w:szCs w:val="18"/>
        </w:rPr>
        <w:t>Investigation and intervention for provisional lack of protection (referred by child protection services).</w:t>
      </w:r>
    </w:p>
    <w:p>
      <w:pPr>
        <w:pStyle w:val="NoSpacing"/>
        <w:widowControl/>
        <w:numPr>
          <w:ilvl w:val="0"/>
          <w:numId w:val="4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</w:rPr>
      </w:pPr>
      <w:r>
        <w:rPr>
          <w:i w:val="false"/>
          <w:iCs w:val="false"/>
          <w:sz w:val="18"/>
          <w:szCs w:val="18"/>
        </w:rPr>
        <w:t>Treatment for family reunification and recovery (referred by child protection services).</w:t>
      </w:r>
    </w:p>
    <w:p>
      <w:pPr>
        <w:pStyle w:val="NoSpacing"/>
        <w:rPr>
          <w:rFonts w:cs="Arial Narrow"/>
        </w:rPr>
      </w:pPr>
      <w:r>
        <w:rPr>
          <w:rFonts w:cs="Arial Narrow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sz w:val="18"/>
          <w:szCs w:val="18"/>
        </w:rPr>
        <w:t xml:space="preserve">- Prognosis for the intervention. </w:t>
      </w:r>
      <w:r>
        <w:rPr>
          <w:rFonts w:cs="Arial Narrow"/>
          <w:b w:val="false"/>
          <w:bCs w:val="false"/>
          <w:sz w:val="18"/>
          <w:szCs w:val="18"/>
        </w:rPr>
        <w:t xml:space="preserve">Options: </w:t>
      </w:r>
    </w:p>
    <w:p>
      <w:pPr>
        <w:pStyle w:val="NoSpacing"/>
        <w:widowControl/>
        <w:numPr>
          <w:ilvl w:val="0"/>
          <w:numId w:val="5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Favourable.</w:t>
      </w:r>
    </w:p>
    <w:p>
      <w:pPr>
        <w:pStyle w:val="NoSpacing"/>
        <w:widowControl/>
        <w:numPr>
          <w:ilvl w:val="0"/>
          <w:numId w:val="5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Unfavourable.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 xml:space="preserve">(13). </w:t>
      </w:r>
      <w:r>
        <w:rPr>
          <w:rFonts w:cs="Arial Narrow"/>
          <w:sz w:val="18"/>
          <w:szCs w:val="18"/>
        </w:rPr>
        <w:t xml:space="preserve"/>
      </w:r>
      <w:r>
        <w:rPr>
          <w:rFonts w:cs="Arial Narrow"/>
          <w:b/>
          <w:bCs/>
          <w:sz w:val="18"/>
          <w:szCs w:val="18"/>
        </w:rPr>
        <w:t xml:space="preserve">Assessment instruments: </w:t>
      </w:r>
      <w:r>
        <w:rPr>
          <w:rFonts w:cs="Arial Narrow"/>
          <w:sz w:val="18"/>
          <w:szCs w:val="18"/>
        </w:rPr>
        <w:t xml:space="preserve">Instruments used in the assessment. </w:t>
      </w:r>
      <w:r>
        <w:rPr>
          <w:rFonts w:cs="Arial Narrow"/>
          <w:b w:val="false"/>
          <w:bCs w:val="false"/>
          <w:sz w:val="18"/>
          <w:szCs w:val="18"/>
        </w:rPr>
        <w:t xml:space="preserve">Options: 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</w:rPr>
      </w:pPr>
      <w:r>
        <w:rPr>
          <w:rFonts w:cs="Arial Narrow"/>
          <w:i w:val="false"/>
          <w:iCs w:val="false"/>
          <w:sz w:val="18"/>
          <w:szCs w:val="18"/>
        </w:rPr>
        <w:t>Interview.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</w:rPr>
      </w:pPr>
      <w:r>
        <w:rPr>
          <w:rFonts w:cs="Arial Narrow"/>
          <w:i w:val="false"/>
          <w:iCs w:val="false"/>
          <w:sz w:val="18"/>
          <w:szCs w:val="18"/>
        </w:rPr>
        <w:t>AAPI - 2.5 (Adult-Adolescent Parenting Inventory).</w:t>
        <w:tab/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</w:rPr>
      </w:pPr>
      <w:r>
        <w:rPr>
          <w:rFonts w:cs="Arial Narrow"/>
          <w:i w:val="false"/>
          <w:iCs w:val="false"/>
          <w:sz w:val="18"/>
          <w:szCs w:val="18"/>
        </w:rPr>
        <w:t>ECP – 12 (Parental Competence Assessment).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</w:rPr>
      </w:pPr>
      <w:r>
        <w:rPr>
          <w:rFonts w:cs="Arial Narrow"/>
          <w:i w:val="false"/>
          <w:iCs w:val="false"/>
          <w:sz w:val="18"/>
          <w:szCs w:val="18"/>
        </w:rPr>
        <w:t>SCORE - 15 (Family Assessment Scale).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</w:rPr>
      </w:pPr>
      <w:r>
        <w:rPr>
          <w:rFonts w:cs="Arial Narrow"/>
          <w:i w:val="false"/>
          <w:iCs w:val="false"/>
          <w:sz w:val="18"/>
          <w:szCs w:val="18"/>
        </w:rPr>
        <w:t>SDQ (Strengths and Difficulties Questionnaire).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</w:rPr>
      </w:pPr>
      <w:r>
        <w:rPr>
          <w:rFonts w:cs="Arial Narrow"/>
          <w:i w:val="false"/>
          <w:iCs w:val="false"/>
          <w:sz w:val="18"/>
          <w:szCs w:val="18"/>
        </w:rPr>
        <w:t>SOATIF.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rFonts w:cs="Arial Narrow"/>
          <w:i/>
          <w:iCs/>
          <w:sz w:val="18"/>
          <w:szCs w:val="18"/>
        </w:rPr>
        <w:t>CSQ – 8 Satisfaction Questionnaire.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rFonts w:cs="Arial Narrow"/>
          <w:i/>
          <w:iCs/>
          <w:sz w:val="18"/>
          <w:szCs w:val="18"/>
        </w:rPr>
        <w:t>G.R. criteria.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rFonts w:cs="Arial Narrow"/>
          <w:i/>
          <w:iCs/>
          <w:sz w:val="18"/>
          <w:szCs w:val="18"/>
        </w:rPr>
        <w:t>CWBS Scale.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rFonts w:cs="Arial Narrow"/>
          <w:i/>
          <w:iCs/>
          <w:sz w:val="18"/>
          <w:szCs w:val="18"/>
          <w:lang w:val="en-GB"/>
        </w:rPr>
        <w:t>CAP.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rFonts w:cs="Arial Narrow"/>
          <w:i/>
          <w:iCs/>
          <w:sz w:val="18"/>
          <w:szCs w:val="18"/>
          <w:lang w:val="en-GB"/>
        </w:rPr>
        <w:t>Depression test.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i/>
          <w:iCs/>
          <w:sz w:val="18"/>
          <w:szCs w:val="18"/>
        </w:rPr>
        <w:t>Personality test.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P-H Self-Concept Scale.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/>
          <w:i/>
          <w:iCs/>
          <w:sz w:val="18"/>
          <w:szCs w:val="18"/>
        </w:rPr>
      </w:pPr>
      <w:r>
        <w:rPr>
          <w:rFonts w:cs="Arial Narrow"/>
          <w:i/>
          <w:iCs/>
          <w:sz w:val="18"/>
          <w:szCs w:val="18"/>
          <w:lang w:val="en-GB"/>
        </w:rPr>
        <w:t>Socio-emotional adjustment.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Empathic activation.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CEIC-CEICA.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Achenbach Scale.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Other (specify).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  <w:lang w:val="en-GB"/>
        </w:rPr>
        <w:t xml:space="preserve">(14). Closure date / reason: Date </w:t>
      </w:r>
      <w:r>
        <w:rPr>
          <w:rFonts w:cs="Arial Narrow"/>
          <w:sz w:val="18"/>
          <w:szCs w:val="18"/>
          <w:lang w:val="en-GB"/>
        </w:rPr>
        <w:t xml:space="preserve">the family treatment team closed the case and the </w:t>
      </w:r>
      <w:r>
        <w:rPr>
          <w:rFonts w:cs="Arial Narrow"/>
          <w:b w:val="false"/>
          <w:bCs w:val="false"/>
          <w:sz w:val="18"/>
          <w:szCs w:val="18"/>
          <w:lang w:val="en-GB"/>
        </w:rPr>
        <w:t>reason. Options:</w:t>
      </w:r>
    </w:p>
    <w:p>
      <w:pPr>
        <w:pStyle w:val="NoSpacing"/>
        <w:widowControl/>
        <w:numPr>
          <w:ilvl w:val="0"/>
          <w:numId w:val="7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Objectives achieved (partially or fully).</w:t>
      </w:r>
    </w:p>
    <w:p>
      <w:pPr>
        <w:pStyle w:val="NoSpacing"/>
        <w:widowControl/>
        <w:numPr>
          <w:ilvl w:val="0"/>
          <w:numId w:val="7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Objectives not achieved.</w:t>
      </w:r>
    </w:p>
    <w:p>
      <w:pPr>
        <w:pStyle w:val="NoSpacing"/>
        <w:widowControl/>
        <w:numPr>
          <w:ilvl w:val="0"/>
          <w:numId w:val="7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Family did not cooperate.</w:t>
      </w:r>
    </w:p>
    <w:p>
      <w:pPr>
        <w:pStyle w:val="NoSpacing"/>
        <w:widowControl/>
        <w:numPr>
          <w:ilvl w:val="0"/>
          <w:numId w:val="7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 xml:space="preserve">Protective measure adopted. </w:t>
      </w:r>
    </w:p>
    <w:p>
      <w:pPr>
        <w:pStyle w:val="NoSpacing"/>
        <w:widowControl/>
        <w:numPr>
          <w:ilvl w:val="0"/>
          <w:numId w:val="7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Change of residence.</w:t>
      </w:r>
    </w:p>
    <w:p>
      <w:pPr>
        <w:pStyle w:val="NoSpacing"/>
        <w:widowControl/>
        <w:numPr>
          <w:ilvl w:val="0"/>
          <w:numId w:val="7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Children reached adulthood.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Once Annex 5 (Referral from the family treatment team to the SPM) has been issued, the family treatment team must keep the case open until the Protection Measures Commission adopts a measure.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 xml:space="preserve">(15). New cases: </w:t>
      </w:r>
      <w:r>
        <w:rPr>
          <w:rFonts w:cs="Arial Narrow"/>
          <w:sz w:val="18"/>
          <w:szCs w:val="18"/>
        </w:rPr>
        <w:t>Number of new cases during the month.</w:t>
      </w:r>
    </w:p>
    <w:p>
      <w:pPr>
        <w:pStyle w:val="NoSpacing"/>
        <w:rPr>
          <w:rFonts w:cs="Arial Narrow"/>
        </w:rPr>
      </w:pPr>
      <w:r>
        <w:rPr>
          <w:rFonts w:cs="Arial Narrow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 xml:space="preserve">(16). Closed cases: </w:t>
      </w:r>
      <w:r>
        <w:rPr>
          <w:rFonts w:cs="Arial Narrow"/>
          <w:sz w:val="18"/>
          <w:szCs w:val="18"/>
        </w:rPr>
        <w:t>Number of cases closed during the month.</w:t>
      </w:r>
    </w:p>
    <w:p>
      <w:pPr>
        <w:pStyle w:val="NoSpacing"/>
        <w:rPr>
          <w:rFonts w:cs="Arial Narrow"/>
        </w:rPr>
      </w:pPr>
      <w:r>
        <w:rPr>
          <w:rFonts w:cs="Arial Narrow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 xml:space="preserve">(17). Total cases: Total </w:t>
      </w:r>
      <w:r>
        <w:rPr>
          <w:rFonts w:cs="Arial Narrow"/>
          <w:sz w:val="18"/>
          <w:szCs w:val="18"/>
        </w:rPr>
        <w:t>number of cases receiving treatment during the month, including new cases and cases closed during that month.</w:t>
      </w:r>
    </w:p>
    <w:p>
      <w:pPr>
        <w:pStyle w:val="NoSpacing"/>
        <w:rPr>
          <w:rFonts w:cs="Arial Narrow"/>
        </w:rPr>
      </w:pPr>
      <w:r>
        <w:rPr>
          <w:rFonts w:cs="Arial Narrow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 xml:space="preserve">(18). Total children: Total </w:t>
      </w:r>
      <w:r>
        <w:rPr>
          <w:rFonts w:cs="Arial Narrow"/>
          <w:sz w:val="18"/>
          <w:szCs w:val="18"/>
        </w:rPr>
        <w:t>number of children the family treatment team works with during the month, including those in new cases and cases closed during that month.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sectPr>
      <w:type w:val="nextPage"/>
      <w:pgSz w:orient="landscape" w:w="16838" w:h="11906"/>
      <w:pgMar w:left="785" w:right="903" w:header="0" w:top="785" w:footer="0" w:bottom="1706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Wingdings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Arial">
    <w:charset w:val="00"/>
    <w:family w:val="roman"/>
    <w:pitch w:val="variable"/>
  </w:font>
  <w:font w:name="Wingdings">
    <w:charset w:val="02"/>
    <w:family w:val="auto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"/>
      <w:lvlJc w:val="left"/>
      <w:pPr>
        <w:tabs>
          <w:tab w:val="num" w:pos="1428"/>
        </w:tabs>
        <w:ind w:left="1428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"/>
      <w:lvlJc w:val="left"/>
      <w:pPr>
        <w:tabs>
          <w:tab w:val="num" w:pos="1428"/>
        </w:tabs>
        <w:ind w:left="1428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"/>
      <w:lvlJc w:val="left"/>
      <w:pPr>
        <w:tabs>
          <w:tab w:val="num" w:pos="1428"/>
        </w:tabs>
        <w:ind w:left="1428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"/>
      <w:lvlJc w:val="left"/>
      <w:pPr>
        <w:tabs>
          <w:tab w:val="num" w:pos="1428"/>
        </w:tabs>
        <w:ind w:left="1428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"/>
      <w:lvlJc w:val="left"/>
      <w:pPr>
        <w:tabs>
          <w:tab w:val="num" w:pos="1428"/>
        </w:tabs>
        <w:ind w:left="1428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"/>
      <w:lvlJc w:val="left"/>
      <w:pPr>
        <w:tabs>
          <w:tab w:val="num" w:pos="1428"/>
        </w:tabs>
        <w:ind w:left="1428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"/>
      <w:lvlJc w:val="left"/>
      <w:pPr>
        <w:tabs>
          <w:tab w:val="num" w:pos="1428"/>
        </w:tabs>
        <w:ind w:left="1428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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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GB" w:bidi="en-GB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11f3f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GB" w:bidi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011f3f"/>
    <w:pPr>
      <w:keepNext w:val="true"/>
      <w:keepLines/>
      <w:spacing w:lineRule="auto" w:line="240" w:before="400" w:after="40"/>
      <w:outlineLvl w:val="0"/>
    </w:pPr>
    <w:rPr>
      <w:rFonts w:ascii="Calibri Light" w:hAnsi="Calibri Light" w:eastAsia="SimSun" w:cs="Times New Roman"/>
      <w:color w:val="1F4E79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1f3f"/>
    <w:pPr>
      <w:keepNext w:val="true"/>
      <w:keepLines/>
      <w:spacing w:lineRule="auto" w:line="240" w:before="40" w:after="0"/>
      <w:outlineLvl w:val="1"/>
    </w:pPr>
    <w:rPr>
      <w:rFonts w:ascii="Calibri Light" w:hAnsi="Calibri Light" w:eastAsia="SimSun" w:cs="Times New Roman"/>
      <w:color w:val="2E74B5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1f3f"/>
    <w:pPr>
      <w:keepNext w:val="true"/>
      <w:keepLines/>
      <w:spacing w:lineRule="auto" w:line="240" w:before="40" w:after="0"/>
      <w:outlineLvl w:val="2"/>
    </w:pPr>
    <w:rPr>
      <w:rFonts w:ascii="Calibri Light" w:hAnsi="Calibri Light" w:eastAsia="SimSun" w:cs="Times New Roman"/>
      <w:color w:val="2E74B5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1f3f"/>
    <w:pPr>
      <w:keepNext w:val="true"/>
      <w:keepLines/>
      <w:spacing w:before="40" w:after="0"/>
      <w:outlineLvl w:val="3"/>
    </w:pPr>
    <w:rPr>
      <w:rFonts w:ascii="Calibri Light" w:hAnsi="Calibri Light" w:eastAsia="SimSun" w:cs="Times New Roman"/>
      <w:color w:val="2E74B5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1f3f"/>
    <w:pPr>
      <w:keepNext w:val="true"/>
      <w:keepLines/>
      <w:spacing w:before="40" w:after="0"/>
      <w:outlineLvl w:val="4"/>
    </w:pPr>
    <w:rPr>
      <w:rFonts w:ascii="Calibri Light" w:hAnsi="Calibri Light" w:eastAsia="SimSun" w:cs="Times New Roman"/>
      <w:caps/>
      <w:color w:val="2E74B5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1f3f"/>
    <w:pPr>
      <w:keepNext w:val="true"/>
      <w:keepLines/>
      <w:spacing w:before="40" w:after="0"/>
      <w:outlineLvl w:val="5"/>
    </w:pPr>
    <w:rPr>
      <w:rFonts w:ascii="Calibri Light" w:hAnsi="Calibri Light" w:eastAsia="SimSun" w:cs="Times New Roman"/>
      <w:i/>
      <w:iCs/>
      <w:caps/>
      <w:color w:val="1F4E7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1f3f"/>
    <w:pPr>
      <w:keepNext w:val="true"/>
      <w:keepLines/>
      <w:spacing w:before="40" w:after="0"/>
      <w:outlineLvl w:val="6"/>
    </w:pPr>
    <w:rPr>
      <w:rFonts w:ascii="Calibri Light" w:hAnsi="Calibri Light" w:eastAsia="SimSun" w:cs="Times New Roman"/>
      <w:b/>
      <w:bCs/>
      <w:color w:val="1F4E79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1f3f"/>
    <w:pPr>
      <w:keepNext w:val="true"/>
      <w:keepLines/>
      <w:spacing w:before="40" w:after="0"/>
      <w:outlineLvl w:val="7"/>
    </w:pPr>
    <w:rPr>
      <w:rFonts w:ascii="Calibri Light" w:hAnsi="Calibri Light" w:eastAsia="SimSun" w:cs="Times New Roman"/>
      <w:b/>
      <w:bCs/>
      <w:i/>
      <w:iCs/>
      <w:color w:val="1F4E79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1f3f"/>
    <w:pPr>
      <w:keepNext w:val="true"/>
      <w:keepLines/>
      <w:spacing w:before="40" w:after="0"/>
      <w:outlineLvl w:val="8"/>
    </w:pPr>
    <w:rPr>
      <w:rFonts w:ascii="Calibri Light" w:hAnsi="Calibri Light" w:eastAsia="SimSun" w:cs="Times New Roman"/>
      <w:i/>
      <w:iCs/>
      <w:color w:val="1F4E79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link w:val="Ttulo1"/>
    <w:uiPriority w:val="9"/>
    <w:qFormat/>
    <w:rsid w:val="00011f3f"/>
    <w:rPr>
      <w:rFonts w:ascii="Calibri Light" w:hAnsi="Calibri Light" w:eastAsia="SimSun" w:cs="Times New Roman"/>
      <w:color w:val="1F4E79"/>
      <w:sz w:val="36"/>
      <w:szCs w:val="36"/>
    </w:rPr>
  </w:style>
  <w:style w:type="character" w:styleId="Ttulo2Car" w:customStyle="1">
    <w:name w:val="Título 2 Car"/>
    <w:link w:val="Ttulo2"/>
    <w:uiPriority w:val="9"/>
    <w:semiHidden/>
    <w:qFormat/>
    <w:rsid w:val="00011f3f"/>
    <w:rPr>
      <w:rFonts w:ascii="Calibri Light" w:hAnsi="Calibri Light" w:eastAsia="SimSun" w:cs="Times New Roman"/>
      <w:color w:val="2E74B5"/>
      <w:sz w:val="32"/>
      <w:szCs w:val="32"/>
    </w:rPr>
  </w:style>
  <w:style w:type="character" w:styleId="Ttulo3Car" w:customStyle="1">
    <w:name w:val="Título 3 Car"/>
    <w:link w:val="Ttulo3"/>
    <w:uiPriority w:val="9"/>
    <w:semiHidden/>
    <w:qFormat/>
    <w:rsid w:val="00011f3f"/>
    <w:rPr>
      <w:rFonts w:ascii="Calibri Light" w:hAnsi="Calibri Light" w:eastAsia="SimSun" w:cs="Times New Roman"/>
      <w:color w:val="2E74B5"/>
      <w:sz w:val="28"/>
      <w:szCs w:val="28"/>
    </w:rPr>
  </w:style>
  <w:style w:type="character" w:styleId="Ttulo4Car" w:customStyle="1">
    <w:name w:val="Título 4 Car"/>
    <w:link w:val="Ttulo4"/>
    <w:uiPriority w:val="9"/>
    <w:semiHidden/>
    <w:qFormat/>
    <w:rsid w:val="00011f3f"/>
    <w:rPr>
      <w:rFonts w:ascii="Calibri Light" w:hAnsi="Calibri Light" w:eastAsia="SimSun" w:cs="Times New Roman"/>
      <w:color w:val="2E74B5"/>
      <w:sz w:val="24"/>
      <w:szCs w:val="24"/>
    </w:rPr>
  </w:style>
  <w:style w:type="character" w:styleId="Ttulo5Car" w:customStyle="1">
    <w:name w:val="Título 5 Car"/>
    <w:link w:val="Ttulo5"/>
    <w:uiPriority w:val="9"/>
    <w:semiHidden/>
    <w:qFormat/>
    <w:rsid w:val="00011f3f"/>
    <w:rPr>
      <w:rFonts w:ascii="Calibri Light" w:hAnsi="Calibri Light" w:eastAsia="SimSun" w:cs="Times New Roman"/>
      <w:caps/>
      <w:color w:val="2E74B5"/>
    </w:rPr>
  </w:style>
  <w:style w:type="character" w:styleId="Ttulo6Car" w:customStyle="1">
    <w:name w:val="Título 6 Car"/>
    <w:link w:val="Ttulo6"/>
    <w:uiPriority w:val="9"/>
    <w:semiHidden/>
    <w:qFormat/>
    <w:rsid w:val="00011f3f"/>
    <w:rPr>
      <w:rFonts w:ascii="Calibri Light" w:hAnsi="Calibri Light" w:eastAsia="SimSun" w:cs="Times New Roman"/>
      <w:i/>
      <w:iCs/>
      <w:caps/>
      <w:color w:val="1F4E79"/>
    </w:rPr>
  </w:style>
  <w:style w:type="character" w:styleId="Ttulo7Car" w:customStyle="1">
    <w:name w:val="Título 7 Car"/>
    <w:link w:val="Ttulo7"/>
    <w:uiPriority w:val="9"/>
    <w:semiHidden/>
    <w:qFormat/>
    <w:rsid w:val="00011f3f"/>
    <w:rPr>
      <w:rFonts w:ascii="Calibri Light" w:hAnsi="Calibri Light" w:eastAsia="SimSun" w:cs="Times New Roman"/>
      <w:b/>
      <w:bCs/>
      <w:color w:val="1F4E79"/>
    </w:rPr>
  </w:style>
  <w:style w:type="character" w:styleId="Ttulo8Car" w:customStyle="1">
    <w:name w:val="Título 8 Car"/>
    <w:link w:val="Ttulo8"/>
    <w:uiPriority w:val="9"/>
    <w:semiHidden/>
    <w:qFormat/>
    <w:rsid w:val="00011f3f"/>
    <w:rPr>
      <w:rFonts w:ascii="Calibri Light" w:hAnsi="Calibri Light" w:eastAsia="SimSun" w:cs="Times New Roman"/>
      <w:b/>
      <w:bCs/>
      <w:i/>
      <w:iCs/>
      <w:color w:val="1F4E79"/>
    </w:rPr>
  </w:style>
  <w:style w:type="character" w:styleId="Ttulo9Car" w:customStyle="1">
    <w:name w:val="Título 9 Car"/>
    <w:link w:val="Ttulo9"/>
    <w:uiPriority w:val="9"/>
    <w:semiHidden/>
    <w:qFormat/>
    <w:rsid w:val="00011f3f"/>
    <w:rPr>
      <w:rFonts w:ascii="Calibri Light" w:hAnsi="Calibri Light" w:eastAsia="SimSun" w:cs="Times New Roman"/>
      <w:i/>
      <w:iCs/>
      <w:color w:val="1F4E79"/>
    </w:rPr>
  </w:style>
  <w:style w:type="character" w:styleId="TtuloCar" w:customStyle="1">
    <w:name w:val="Título Car"/>
    <w:link w:val="Ttulo"/>
    <w:uiPriority w:val="10"/>
    <w:qFormat/>
    <w:rsid w:val="00011f3f"/>
    <w:rPr>
      <w:rFonts w:ascii="Calibri Light" w:hAnsi="Calibri Light" w:eastAsia="SimSun" w:cs="Times New Roman"/>
      <w:caps/>
      <w:color w:val="44546A"/>
      <w:spacing w:val="-15"/>
      <w:sz w:val="72"/>
      <w:szCs w:val="72"/>
    </w:rPr>
  </w:style>
  <w:style w:type="character" w:styleId="SubttuloCar" w:customStyle="1">
    <w:name w:val="Subtítulo Car"/>
    <w:link w:val="Subttulo"/>
    <w:uiPriority w:val="11"/>
    <w:qFormat/>
    <w:rsid w:val="00011f3f"/>
    <w:rPr>
      <w:rFonts w:ascii="Calibri Light" w:hAnsi="Calibri Light" w:eastAsia="SimSun" w:cs="Times New Roman"/>
      <w:color w:val="5B9BD5"/>
      <w:sz w:val="28"/>
      <w:szCs w:val="28"/>
    </w:rPr>
  </w:style>
  <w:style w:type="character" w:styleId="Strong">
    <w:name w:val="Strong"/>
    <w:uiPriority w:val="22"/>
    <w:qFormat/>
    <w:rsid w:val="00011f3f"/>
    <w:rPr>
      <w:b/>
      <w:bCs/>
    </w:rPr>
  </w:style>
  <w:style w:type="character" w:styleId="Destacado">
    <w:name w:val="Destacado"/>
    <w:uiPriority w:val="20"/>
    <w:qFormat/>
    <w:rsid w:val="00011f3f"/>
    <w:rPr>
      <w:i/>
      <w:iCs/>
    </w:rPr>
  </w:style>
  <w:style w:type="character" w:styleId="CitaCar" w:customStyle="1">
    <w:name w:val="Cita Car"/>
    <w:link w:val="Cita"/>
    <w:uiPriority w:val="29"/>
    <w:qFormat/>
    <w:rsid w:val="00011f3f"/>
    <w:rPr>
      <w:color w:val="44546A"/>
      <w:sz w:val="24"/>
      <w:szCs w:val="24"/>
    </w:rPr>
  </w:style>
  <w:style w:type="character" w:styleId="CitadestacadaCar" w:customStyle="1">
    <w:name w:val="Cita destacada Car"/>
    <w:link w:val="Citadestacada"/>
    <w:uiPriority w:val="30"/>
    <w:qFormat/>
    <w:rsid w:val="00011f3f"/>
    <w:rPr>
      <w:rFonts w:ascii="Calibri Light" w:hAnsi="Calibri Light" w:eastAsia="SimSun" w:cs="Times New Roman"/>
      <w:color w:val="44546A"/>
      <w:spacing w:val="-6"/>
      <w:sz w:val="32"/>
      <w:szCs w:val="32"/>
    </w:rPr>
  </w:style>
  <w:style w:type="character" w:styleId="SubtleEmphasis">
    <w:name w:val="Subtle Emphasis"/>
    <w:uiPriority w:val="19"/>
    <w:qFormat/>
    <w:rsid w:val="00011f3f"/>
    <w:rPr>
      <w:i/>
      <w:iCs/>
      <w:color w:val="595959"/>
    </w:rPr>
  </w:style>
  <w:style w:type="character" w:styleId="IntenseEmphasis">
    <w:name w:val="Intense Emphasis"/>
    <w:uiPriority w:val="21"/>
    <w:qFormat/>
    <w:rsid w:val="00011f3f"/>
    <w:rPr>
      <w:b/>
      <w:bCs/>
      <w:i/>
      <w:iCs/>
    </w:rPr>
  </w:style>
  <w:style w:type="character" w:styleId="SubtleReference">
    <w:name w:val="Subtle Reference"/>
    <w:uiPriority w:val="31"/>
    <w:qFormat/>
    <w:rsid w:val="00011f3f"/>
    <w:rPr>
      <w:smallCaps/>
      <w:color w:val="595959"/>
      <w:u w:val="none" w:color="7F7F7F"/>
    </w:rPr>
  </w:style>
  <w:style w:type="character" w:styleId="IntenseReference">
    <w:name w:val="Intense Reference"/>
    <w:uiPriority w:val="32"/>
    <w:qFormat/>
    <w:rsid w:val="00011f3f"/>
    <w:rPr>
      <w:b/>
      <w:bCs/>
      <w:smallCaps/>
      <w:color w:val="44546A"/>
      <w:u w:val="single"/>
    </w:rPr>
  </w:style>
  <w:style w:type="character" w:styleId="BookTitle">
    <w:name w:val="Book Title"/>
    <w:uiPriority w:val="33"/>
    <w:qFormat/>
    <w:rsid w:val="00011f3f"/>
    <w:rPr>
      <w:b/>
      <w:bCs/>
      <w:smallCaps/>
      <w:spacing w:val="10"/>
    </w:rPr>
  </w:style>
  <w:style w:type="character" w:styleId="WW8Num4z0">
    <w:name w:val="WW8Num4z0"/>
    <w:qFormat/>
    <w:rPr>
      <w:rFonts w:ascii="Wingdings" w:hAnsi="Wingdings" w:cs="Wingdings"/>
      <w:sz w:val="16"/>
    </w:rPr>
  </w:style>
  <w:style w:type="character" w:styleId="WW8Num2z0">
    <w:name w:val="WW8Num2z0"/>
    <w:qFormat/>
    <w:rPr>
      <w:rFonts w:ascii="Wingdings" w:hAnsi="Wingdings" w:cs="Wingdings"/>
      <w:sz w:val="16"/>
    </w:rPr>
  </w:style>
  <w:style w:type="character" w:styleId="WW8Num8z0">
    <w:name w:val="WW8Num8z0"/>
    <w:qFormat/>
    <w:rPr>
      <w:rFonts w:ascii="Wingdings" w:hAnsi="Wingdings" w:cs="Wingdings"/>
      <w:sz w:val="16"/>
    </w:rPr>
  </w:style>
  <w:style w:type="character" w:styleId="WW8Num6z0">
    <w:name w:val="WW8Num6z0"/>
    <w:qFormat/>
    <w:rPr>
      <w:rFonts w:ascii="Wingdings" w:hAnsi="Wingdings" w:cs="Wingdings"/>
      <w:sz w:val="16"/>
    </w:rPr>
  </w:style>
  <w:style w:type="character" w:styleId="WW8Num5z0">
    <w:name w:val="WW8Num5z0"/>
    <w:qFormat/>
    <w:rPr>
      <w:rFonts w:ascii="Wingdings" w:hAnsi="Wingdings" w:cs="Wingdings"/>
      <w:sz w:val="16"/>
    </w:rPr>
  </w:style>
  <w:style w:type="character" w:styleId="WW8Num7z0">
    <w:name w:val="WW8Num7z0"/>
    <w:qFormat/>
    <w:rPr>
      <w:rFonts w:ascii="Wingdings" w:hAnsi="Wingdings" w:cs="Wingdings"/>
      <w:sz w:val="16"/>
      <w:lang w:val="en-GB"/>
    </w:rPr>
  </w:style>
  <w:style w:type="character" w:styleId="WW8Num3z0">
    <w:name w:val="WW8Num3z0"/>
    <w:qFormat/>
    <w:rPr>
      <w:rFonts w:ascii="Wingdings" w:hAnsi="Wingdings" w:cs="Wingdings"/>
      <w:sz w:val="16"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11f3f"/>
    <w:pPr>
      <w:spacing w:lineRule="auto" w:line="240"/>
    </w:pPr>
    <w:rPr>
      <w:b/>
      <w:bCs/>
      <w:smallCaps/>
      <w:color w:val="44546A"/>
    </w:rPr>
  </w:style>
  <w:style w:type="paragraph" w:styleId="Ttulogeneral">
    <w:name w:val="Title"/>
    <w:basedOn w:val="Normal"/>
    <w:next w:val="Normal"/>
    <w:link w:val="TtuloCar"/>
    <w:uiPriority w:val="10"/>
    <w:qFormat/>
    <w:rsid w:val="00011f3f"/>
    <w:pPr>
      <w:spacing w:lineRule="auto" w:line="204" w:before="0" w:after="0"/>
      <w:contextualSpacing/>
    </w:pPr>
    <w:rPr>
      <w:rFonts w:ascii="Calibri Light" w:hAnsi="Calibri Light" w:eastAsia="SimSun" w:cs="Times New Roman"/>
      <w:caps/>
      <w:color w:val="44546A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011f3f"/>
    <w:pPr>
      <w:spacing w:lineRule="auto" w:line="240" w:before="0" w:after="240"/>
    </w:pPr>
    <w:rPr>
      <w:rFonts w:ascii="Calibri Light" w:hAnsi="Calibri Light" w:eastAsia="SimSun" w:cs="Times New Roman"/>
      <w:color w:val="5B9BD5"/>
      <w:sz w:val="28"/>
      <w:szCs w:val="28"/>
    </w:rPr>
  </w:style>
  <w:style w:type="paragraph" w:styleId="NoSpacing">
    <w:name w:val="No Spacing"/>
    <w:uiPriority w:val="1"/>
    <w:qFormat/>
    <w:rsid w:val="00011f3f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GB" w:bidi="en-GB"/>
    </w:rPr>
  </w:style>
  <w:style w:type="paragraph" w:styleId="ListParagraph">
    <w:name w:val="List Paragraph"/>
    <w:basedOn w:val="Normal"/>
    <w:uiPriority w:val="34"/>
    <w:qFormat/>
    <w:rsid w:val="00011f3f"/>
    <w:pPr>
      <w:spacing w:before="0" w:after="160"/>
      <w:ind w:left="720" w:hanging="0"/>
      <w:contextualSpacing/>
    </w:pPr>
    <w:rPr/>
  </w:style>
  <w:style w:type="paragraph" w:styleId="Quote">
    <w:name w:val="Quote"/>
    <w:basedOn w:val="Normal"/>
    <w:next w:val="Normal"/>
    <w:link w:val="CitaCar"/>
    <w:uiPriority w:val="29"/>
    <w:qFormat/>
    <w:rsid w:val="00011f3f"/>
    <w:pPr>
      <w:spacing w:before="120" w:after="120"/>
      <w:ind w:left="720" w:hanging="0"/>
    </w:pPr>
    <w:rPr>
      <w:color w:val="44546A"/>
      <w:sz w:val="24"/>
      <w:szCs w:val="24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011f3f"/>
    <w:pPr>
      <w:spacing w:lineRule="auto" w:line="240" w:beforeAutospacing="1" w:after="240"/>
      <w:ind w:left="720" w:hanging="0"/>
      <w:jc w:val="center"/>
    </w:pPr>
    <w:rPr>
      <w:rFonts w:ascii="Calibri Light" w:hAnsi="Calibri Light" w:eastAsia="SimSun" w:cs="Times New Roman"/>
      <w:color w:val="44546A"/>
      <w:spacing w:val="-6"/>
      <w:sz w:val="32"/>
      <w:szCs w:val="32"/>
    </w:rPr>
  </w:style>
  <w:style w:type="paragraph" w:styleId="TOCHeading">
    <w:name w:val="TOC Heading"/>
    <w:basedOn w:val="Ttulo1"/>
    <w:next w:val="Normal"/>
    <w:uiPriority w:val="39"/>
    <w:semiHidden/>
    <w:unhideWhenUsed/>
    <w:qFormat/>
    <w:rsid w:val="00011f3f"/>
    <w:pPr/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Cabeceraypie">
    <w:name w:val="Cabecera y pie"/>
    <w:basedOn w:val="Normal"/>
    <w:qFormat/>
    <w:pPr/>
    <w:rPr/>
  </w:style>
  <w:style w:type="paragraph" w:styleId="Piedepgina">
    <w:name w:val="Foot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WW8Num4">
    <w:name w:val="WW8Num4"/>
    <w:qFormat/>
  </w:style>
  <w:style w:type="numbering" w:styleId="WW8Num2">
    <w:name w:val="WW8Num2"/>
    <w:qFormat/>
  </w:style>
  <w:style w:type="numbering" w:styleId="WW8Num8">
    <w:name w:val="WW8Num8"/>
    <w:qFormat/>
  </w:style>
  <w:style w:type="numbering" w:styleId="WW8Num6">
    <w:name w:val="WW8Num6"/>
    <w:qFormat/>
  </w:style>
  <w:style w:type="numbering" w:styleId="WW8Num5">
    <w:name w:val="WW8Num5"/>
    <w:qFormat/>
  </w:style>
  <w:style w:type="numbering" w:styleId="WW8Num7">
    <w:name w:val="WW8Num7"/>
    <w:qFormat/>
  </w:style>
  <w:style w:type="numbering" w:styleId="WW8Num3">
    <w:name w:val="WW8Num3"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ETFRevision0NoSpacing">
    <w:name w:val="Document title (NoSpacing)"/>
    <w:basedOn w:val="NoSpacing"/>
    <w:qFormat/>
    <w:pPr>
      <w:outlineLvl w:val="0"/>
    </w:pPr>
  </w:style>
  <w:style w:type="paragraph" w:styleId="ETFRevision1NoSpacing">
    <w:name w:val="Section heading (NoSpacing)"/>
    <w:basedOn w:val="NoSpacing"/>
    <w:qFormat/>
    <w:pPr>
      <w:outlineLvl w:val="1"/>
    </w:pPr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Application>LibreOffice/7.1.5.2$Windows_X86_64 LibreOffice_project/85f04e9f809797b8199d13c421bd8a2b025d52b5</Application>
  <AppVersion>15.0000</AppVersion>
  <Pages>4</Pages>
  <Words>792</Words>
  <Characters>4100</Characters>
  <CharactersWithSpaces>4798</CharactersWithSpaces>
  <Paragraphs>119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2026-10-13T05:52:00Z</dcterms:created>
  <dc:creator>Expedientes ETF</dc:creator>
  <dc:description/>
  <dc:language>es-ES</dc:language>
  <cp:lastModifiedBy>Expedientes ETF</cp:lastModifiedBy>
  <dcterms:modified xsi:type="dcterms:W3CDTF">2026-10-13T09:16:49Z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