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222" w:rsidRPr="00851222" w:rsidRDefault="00851222" w:rsidP="00851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C"/>
        </w:rPr>
      </w:pPr>
      <w:r w:rsidRPr="00851222">
        <w:rPr>
          <w:rFonts w:ascii="Times New Roman" w:eastAsia="Times New Roman" w:hAnsi="Times New Roman" w:cs="Times New Roman"/>
          <w:b/>
          <w:bCs/>
          <w:sz w:val="36"/>
          <w:szCs w:val="36"/>
          <w:lang w:val="es-EC"/>
        </w:rPr>
        <w:t>Metodología</w:t>
      </w:r>
    </w:p>
    <w:p w:rsidR="00851222" w:rsidRPr="00851222" w:rsidRDefault="00851222" w:rsidP="00851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</w:pPr>
      <w:r w:rsidRPr="00851222"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  <w:t>1. Fuentes de información y periodo de estudio</w:t>
      </w:r>
    </w:p>
    <w:p w:rsidR="00851222" w:rsidRPr="00851222" w:rsidRDefault="00851222" w:rsidP="0085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El estudio se basó en registros bibliográficos obtenidos de las bases de datos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Scopus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y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Web of Science (WoS)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.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 xml:space="preserve">La recolección de información se delimitó al periodo comprendido entre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2014 y 2024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, con el objetivo de analizar la producción científica más reciente y representativa del área de estudio.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 xml:space="preserve">Adicionalmente, se empleó la base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SCImago Journal Rank (SJR)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para validar los títulos canónicos de las revistas indexadas y asegurar la coherencia entre las fuentes.</w:t>
      </w:r>
    </w:p>
    <w:p w:rsidR="00851222" w:rsidRPr="00851222" w:rsidRDefault="00851222" w:rsidP="00851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2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51222" w:rsidRPr="00851222" w:rsidRDefault="00851222" w:rsidP="00851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</w:pPr>
      <w:r w:rsidRPr="00851222"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  <w:t>2. Procesamiento y limpieza de los datos</w:t>
      </w:r>
    </w:p>
    <w:p w:rsidR="00851222" w:rsidRPr="00851222" w:rsidRDefault="00851222" w:rsidP="0085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Los archivos exportados desde Scopus y WoS fueron procesados en formato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CSV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y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XLSX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respectivamente, mediante el uso del lenguaje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Python (v3.9)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y las librerías </w:t>
      </w:r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pandas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, </w:t>
      </w:r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numpy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, </w:t>
      </w:r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spacy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, </w:t>
      </w:r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rapidfuzz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y </w:t>
      </w:r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matplotlib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.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</w:r>
      <w:r w:rsidRPr="00851222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851222">
        <w:rPr>
          <w:rFonts w:ascii="Times New Roman" w:eastAsia="Times New Roman" w:hAnsi="Times New Roman" w:cs="Times New Roman"/>
          <w:sz w:val="24"/>
          <w:szCs w:val="24"/>
        </w:rPr>
        <w:t>flujo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51222">
        <w:rPr>
          <w:rFonts w:ascii="Times New Roman" w:eastAsia="Times New Roman" w:hAnsi="Times New Roman" w:cs="Times New Roman"/>
          <w:sz w:val="24"/>
          <w:szCs w:val="24"/>
        </w:rPr>
        <w:t>procesamiento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222">
        <w:rPr>
          <w:rFonts w:ascii="Times New Roman" w:eastAsia="Times New Roman" w:hAnsi="Times New Roman" w:cs="Times New Roman"/>
          <w:sz w:val="24"/>
          <w:szCs w:val="24"/>
        </w:rPr>
        <w:t>incluyó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222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222">
        <w:rPr>
          <w:rFonts w:ascii="Times New Roman" w:eastAsia="Times New Roman" w:hAnsi="Times New Roman" w:cs="Times New Roman"/>
          <w:sz w:val="24"/>
          <w:szCs w:val="24"/>
        </w:rPr>
        <w:t>siguientes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222">
        <w:rPr>
          <w:rFonts w:ascii="Times New Roman" w:eastAsia="Times New Roman" w:hAnsi="Times New Roman" w:cs="Times New Roman"/>
          <w:sz w:val="24"/>
          <w:szCs w:val="24"/>
        </w:rPr>
        <w:t>pasos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1222" w:rsidRPr="00851222" w:rsidRDefault="00851222" w:rsidP="00851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Normalización</w:t>
      </w:r>
      <w:proofErr w:type="spellEnd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>campos</w:t>
      </w:r>
      <w:proofErr w:type="spellEnd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>formatos</w:t>
      </w:r>
      <w:proofErr w:type="spellEnd"/>
    </w:p>
    <w:p w:rsidR="00851222" w:rsidRPr="00851222" w:rsidRDefault="00851222" w:rsidP="00851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Se estandarizaron los nombres de las columnas para asegurar compatibilidad entre ambas bases.</w:t>
      </w:r>
    </w:p>
    <w:p w:rsidR="00851222" w:rsidRPr="00851222" w:rsidRDefault="00851222" w:rsidP="00851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Se homogenizaron los tipos de documento (</w:t>
      </w:r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Document Type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), reemplazando términos como </w:t>
      </w:r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>Proceedings Paper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por </w:t>
      </w:r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>Conference Paper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.</w:t>
      </w:r>
    </w:p>
    <w:p w:rsidR="00851222" w:rsidRPr="00851222" w:rsidRDefault="00851222" w:rsidP="00851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Se normalizó la codificación de caracteres mediante </w:t>
      </w:r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unicodedata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, eliminando acentos, guiones y caracteres no alfabéticos.</w:t>
      </w:r>
    </w:p>
    <w:p w:rsidR="00851222" w:rsidRPr="00851222" w:rsidRDefault="00851222" w:rsidP="00851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Preprocesamiento de títulos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 xml:space="preserve">Se desarrolló una función denominada </w:t>
      </w:r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preprocess_title()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que:</w:t>
      </w:r>
    </w:p>
    <w:p w:rsidR="00851222" w:rsidRPr="00851222" w:rsidRDefault="00851222" w:rsidP="00851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Elimina signos y caracteres especiales.</w:t>
      </w:r>
    </w:p>
    <w:p w:rsidR="00851222" w:rsidRPr="00851222" w:rsidRDefault="00851222" w:rsidP="00851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Convierte los títulos a minúsculas y aplica normalización ASCII.</w:t>
      </w:r>
    </w:p>
    <w:p w:rsidR="00851222" w:rsidRPr="00851222" w:rsidRDefault="00851222" w:rsidP="00851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Excluye </w:t>
      </w:r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>stopwords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en inglés utilizando el modelo lingüístico </w:t>
      </w:r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en_core_web_lg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de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spaCy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.</w:t>
      </w:r>
    </w:p>
    <w:p w:rsidR="00851222" w:rsidRPr="00851222" w:rsidRDefault="00851222" w:rsidP="00851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Realiza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lematización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para obtener la forma canónica de las palabras.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>Este procedimiento garantizó la coherencia léxica y semántica entre registros de distintas fuentes.</w:t>
      </w:r>
    </w:p>
    <w:p w:rsidR="00851222" w:rsidRPr="00851222" w:rsidRDefault="00851222" w:rsidP="00851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>Limpieza</w:t>
      </w:r>
      <w:proofErr w:type="spellEnd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>autores</w:t>
      </w:r>
      <w:proofErr w:type="spellEnd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>afiliaciones</w:t>
      </w:r>
      <w:proofErr w:type="spellEnd"/>
    </w:p>
    <w:p w:rsidR="00851222" w:rsidRPr="00851222" w:rsidRDefault="00851222" w:rsidP="00851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Se depuraron los nombres de autores eliminando puntuaciones innecesarias y uniformando las iniciales.</w:t>
      </w:r>
    </w:p>
    <w:p w:rsidR="00851222" w:rsidRPr="00851222" w:rsidRDefault="00851222" w:rsidP="00851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Se fusionaron las columnas </w:t>
      </w:r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>Affiliations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y </w:t>
      </w:r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>Authors with affiliations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para evitar pérdida de información.</w:t>
      </w:r>
    </w:p>
    <w:p w:rsidR="00851222" w:rsidRPr="00851222" w:rsidRDefault="00851222" w:rsidP="00851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Se normalizaron los nombres de países mediante expresiones regulares, unificando variantes como </w:t>
      </w:r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>U.S.A.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, </w:t>
      </w:r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>United States of America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o </w:t>
      </w:r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>Republic of Korea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bajo una forma estándar.</w:t>
      </w:r>
    </w:p>
    <w:p w:rsidR="00851222" w:rsidRPr="00851222" w:rsidRDefault="00851222" w:rsidP="00851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2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51222" w:rsidRPr="00851222" w:rsidRDefault="00851222" w:rsidP="00851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</w:pPr>
      <w:r w:rsidRPr="00851222"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  <w:lastRenderedPageBreak/>
        <w:t>3. Detección y eliminación de duplicados</w:t>
      </w:r>
    </w:p>
    <w:p w:rsidR="00851222" w:rsidRPr="00851222" w:rsidRDefault="00851222" w:rsidP="0085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El proceso de deduplicación se ejecutó en dos fases complementarias:</w:t>
      </w:r>
    </w:p>
    <w:p w:rsidR="00851222" w:rsidRPr="00851222" w:rsidRDefault="00851222" w:rsidP="00851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Coincidencia exacta por DOI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>Los identificadores digitales (DOI) fueron convertidos a minúsculas y limpiados de espacios en blanco.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>Los registros con coincidencia exacta de DOI entre Scopus y WoS fueron considerados duplicados absolutos.</w:t>
      </w:r>
    </w:p>
    <w:p w:rsidR="00851222" w:rsidRPr="00851222" w:rsidRDefault="00851222" w:rsidP="00851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Coincidencia difusa por título (Fuzzy Matching)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 xml:space="preserve">Para los registros sin DOI o con discrepancias menores, se implementó una comparación de similitud textual mediante el algoritmo </w:t>
      </w:r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fuzz.WRatio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de la librería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RapidFuzz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.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 xml:space="preserve">Se estableció un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umbral de similitud de 90 %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, considerando duplicados aquellos títulos con un puntaje superior a dicho valor.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>Este enfoque permitió detectar equivalencias entre registros con variaciones ortográficas o sintácticas mínimas.</w:t>
      </w:r>
    </w:p>
    <w:p w:rsidR="00851222" w:rsidRPr="00851222" w:rsidRDefault="00851222" w:rsidP="0085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Los registros duplicados se eliminaron del conjunto de WoS para mantener una única ocurrencia consolidada en el archivo final.</w:t>
      </w:r>
    </w:p>
    <w:p w:rsidR="00851222" w:rsidRPr="00851222" w:rsidRDefault="00851222" w:rsidP="00851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2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51222" w:rsidRPr="00851222" w:rsidRDefault="00851222" w:rsidP="00851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2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7"/>
          <w:szCs w:val="27"/>
        </w:rPr>
        <w:t>Integración</w:t>
      </w:r>
      <w:proofErr w:type="spellEnd"/>
      <w:r w:rsidRPr="008512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7"/>
          <w:szCs w:val="27"/>
        </w:rPr>
        <w:t>normalización</w:t>
      </w:r>
      <w:proofErr w:type="spellEnd"/>
      <w:r w:rsidRPr="008512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7"/>
          <w:szCs w:val="27"/>
        </w:rPr>
        <w:t>fuentes</w:t>
      </w:r>
      <w:proofErr w:type="spellEnd"/>
    </w:p>
    <w:p w:rsidR="00851222" w:rsidRPr="00851222" w:rsidRDefault="00851222" w:rsidP="0085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Posteriormente, los conjuntos depurados fueron concatenados mediante </w:t>
      </w:r>
      <w:proofErr w:type="spellStart"/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pandas.concat</w:t>
      </w:r>
      <w:proofErr w:type="spellEnd"/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()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para construir un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 xml:space="preserve">corpus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bibliométrico</w:t>
      </w:r>
      <w:proofErr w:type="spellEnd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 xml:space="preserve"> unificado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.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 xml:space="preserve">La columna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ISSN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fue empleada como vínculo principal para estandarizar los nombres de revistas, utilizando la base </w:t>
      </w:r>
      <w:proofErr w:type="spellStart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SCImago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como referencia.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 xml:space="preserve">En los casos sin ISSN disponible, se aplicó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fuzzy</w:t>
      </w:r>
      <w:proofErr w:type="spellEnd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matching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entre los títulos originales y el catálogo de </w:t>
      </w:r>
      <w:proofErr w:type="spellStart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SCImago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, seleccionando el título más similar con una similitud ≥ 90 %.</w:t>
      </w:r>
    </w:p>
    <w:p w:rsidR="00851222" w:rsidRPr="00851222" w:rsidRDefault="00851222" w:rsidP="0085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Los registros combinados se filtraron por el rango temporal 2014–2024 y se consolidaron en un único archivo denominado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</w:r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datawos_scopusbloque4.csv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.</w:t>
      </w:r>
    </w:p>
    <w:p w:rsidR="00851222" w:rsidRPr="00851222" w:rsidRDefault="00851222" w:rsidP="00851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2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51222" w:rsidRPr="00851222" w:rsidRDefault="00851222" w:rsidP="00851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</w:pPr>
      <w:r w:rsidRPr="00851222"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  <w:t>5. Análisis descriptivo y visualización</w:t>
      </w:r>
    </w:p>
    <w:p w:rsidR="00851222" w:rsidRPr="00851222" w:rsidRDefault="00851222" w:rsidP="0085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Se calcularon indicadores básicos de desempeño </w:t>
      </w:r>
      <w:proofErr w:type="spellStart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bibliométrico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, incluyendo:</w:t>
      </w:r>
    </w:p>
    <w:p w:rsidR="00851222" w:rsidRPr="00851222" w:rsidRDefault="00851222" w:rsidP="00851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Distribución anual de publicaciones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(</w:t>
      </w:r>
      <w:proofErr w:type="spellStart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WoS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, </w:t>
      </w:r>
      <w:proofErr w:type="spellStart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Scopus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y total).</w:t>
      </w:r>
    </w:p>
    <w:p w:rsidR="00851222" w:rsidRPr="00851222" w:rsidRDefault="00851222" w:rsidP="00851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>Evolución</w:t>
      </w:r>
      <w:proofErr w:type="spellEnd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>anual</w:t>
      </w:r>
      <w:proofErr w:type="spellEnd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</w:rPr>
        <w:t>citas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1222" w:rsidRPr="00851222" w:rsidRDefault="00851222" w:rsidP="00851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Distribución de tipos de documentos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(</w:t>
      </w:r>
      <w:proofErr w:type="spellStart"/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>article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, </w:t>
      </w:r>
      <w:proofErr w:type="spellStart"/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>review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, </w:t>
      </w:r>
      <w:proofErr w:type="spellStart"/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>conference</w:t>
      </w:r>
      <w:proofErr w:type="spellEnd"/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 xml:space="preserve"> </w:t>
      </w:r>
      <w:proofErr w:type="spellStart"/>
      <w:r w:rsidRPr="00851222">
        <w:rPr>
          <w:rFonts w:ascii="Times New Roman" w:eastAsia="Times New Roman" w:hAnsi="Times New Roman" w:cs="Times New Roman"/>
          <w:i/>
          <w:iCs/>
          <w:sz w:val="24"/>
          <w:szCs w:val="24"/>
          <w:lang w:val="es-EC"/>
        </w:rPr>
        <w:t>paper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, entre otros).</w:t>
      </w:r>
    </w:p>
    <w:p w:rsidR="00851222" w:rsidRPr="00851222" w:rsidRDefault="00851222" w:rsidP="00851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 xml:space="preserve">Porcentaje de registros conservados y eliminados tras la </w:t>
      </w:r>
      <w:proofErr w:type="spellStart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deduplicación</w:t>
      </w:r>
      <w:proofErr w:type="spellEnd"/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.</w:t>
      </w:r>
    </w:p>
    <w:p w:rsidR="00851222" w:rsidRPr="00851222" w:rsidRDefault="00851222" w:rsidP="0085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lastRenderedPageBreak/>
        <w:t xml:space="preserve">Los resultados se representaron mediante </w:t>
      </w:r>
      <w:r w:rsidRPr="0085122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gráficos de líneas y barras apiladas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, empleando la librería </w:t>
      </w:r>
      <w:proofErr w:type="spellStart"/>
      <w:r w:rsidRPr="00851222">
        <w:rPr>
          <w:rFonts w:ascii="Courier New" w:eastAsia="Times New Roman" w:hAnsi="Courier New" w:cs="Courier New"/>
          <w:sz w:val="20"/>
          <w:szCs w:val="20"/>
          <w:lang w:val="es-EC"/>
        </w:rPr>
        <w:t>matplotlib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y un estilo gráfico de carácter científico (fuente </w:t>
      </w:r>
      <w:proofErr w:type="spellStart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serif</w:t>
      </w:r>
      <w:proofErr w:type="spellEnd"/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, escala cromática accesible y etiquetas legibles).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>El análisis permitió visualizar las tendencias temporales de la producción científica y la composición documental del corpus unificado.</w:t>
      </w:r>
    </w:p>
    <w:p w:rsidR="00851222" w:rsidRPr="00851222" w:rsidRDefault="00851222" w:rsidP="00851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22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51222" w:rsidRPr="00851222" w:rsidRDefault="00851222" w:rsidP="00851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</w:pPr>
      <w:r w:rsidRPr="00851222"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  <w:t>6. Validación de resultados</w:t>
      </w:r>
    </w:p>
    <w:p w:rsidR="00851222" w:rsidRPr="00851222" w:rsidRDefault="00851222" w:rsidP="0085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t>Finalmente, se verificaron los conteos finales de registros, citas y porcentajes de eliminación, asegurando la coherencia entre el número total de artículos cargados, los eliminados por duplicidad y los conservados.</w:t>
      </w:r>
      <w:r w:rsidRPr="00851222">
        <w:rPr>
          <w:rFonts w:ascii="Times New Roman" w:eastAsia="Times New Roman" w:hAnsi="Times New Roman" w:cs="Times New Roman"/>
          <w:sz w:val="24"/>
          <w:szCs w:val="24"/>
          <w:lang w:val="es-EC"/>
        </w:rPr>
        <w:br/>
        <w:t>El proceso permitió consolidar un corpus bibliográfico limpio, sin redundancias y con metadatos estandarizados, apto para posteriores fases de análisis semántico, coautoría o mapeo temático.</w:t>
      </w:r>
    </w:p>
    <w:p w:rsidR="00A1528E" w:rsidRPr="00851222" w:rsidRDefault="00A1528E">
      <w:pPr>
        <w:rPr>
          <w:lang w:val="es-EC"/>
        </w:rPr>
      </w:pPr>
      <w:bookmarkStart w:id="0" w:name="_GoBack"/>
      <w:bookmarkEnd w:id="0"/>
    </w:p>
    <w:sectPr w:rsidR="00A1528E" w:rsidRPr="00851222" w:rsidSect="006B5D26">
      <w:type w:val="continuous"/>
      <w:pgSz w:w="12240" w:h="15840"/>
      <w:pgMar w:top="1418" w:right="1418" w:bottom="1418" w:left="141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85D19"/>
    <w:multiLevelType w:val="multilevel"/>
    <w:tmpl w:val="8512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737B1"/>
    <w:multiLevelType w:val="multilevel"/>
    <w:tmpl w:val="963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46ECB"/>
    <w:multiLevelType w:val="multilevel"/>
    <w:tmpl w:val="458A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3CA"/>
    <w:rsid w:val="004B03CA"/>
    <w:rsid w:val="006B5D26"/>
    <w:rsid w:val="00851222"/>
    <w:rsid w:val="00A1528E"/>
    <w:rsid w:val="00EF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C2F9E4-A0DF-48B0-83F9-D24A6230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512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851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512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5122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8512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1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85122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512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0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INVESTIGACION 47</dc:creator>
  <cp:keywords/>
  <dc:description/>
  <cp:lastModifiedBy>INVESTIGACION 47</cp:lastModifiedBy>
  <cp:revision>2</cp:revision>
  <dcterms:created xsi:type="dcterms:W3CDTF">2025-10-16T22:02:00Z</dcterms:created>
  <dcterms:modified xsi:type="dcterms:W3CDTF">2025-10-16T22:09:00Z</dcterms:modified>
</cp:coreProperties>
</file>