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CES application workflow: clarification note</w:t>
      </w:r>
    </w:p>
    <w:p>
      <w:pPr>
        <w:pStyle w:val="Subtitle"/>
      </w:pPr>
      <w:r>
        <w:t xml:space="preserve">Response to the partner’s workflow graphic · 2 October 2026 · DRAFT, not sent</w:t>
      </w:r>
    </w:p>
    <w:bookmarkStart w:id="9" w:name="purpose"/>
    <w:p>
      <w:pPr>
        <w:pStyle w:val="Heading1"/>
      </w:pPr>
      <w:r>
        <w:t xml:space="preserve">Purpose</w:t>
      </w:r>
    </w:p>
    <w:p>
      <w:pPr>
        <w:pStyle w:val="FirstParagraph"/>
      </w:pPr>
      <w:r>
        <w:t xml:space="preserve">Thank you for the</w:t>
      </w:r>
      <w:r>
        <w:t xml:space="preserve"> </w:t>
      </w:r>
      <w:r>
        <w:t xml:space="preserve">“CES Application Workflow”</w:t>
      </w:r>
      <w:r>
        <w:t xml:space="preserve"> </w:t>
      </w:r>
      <w:r>
        <w:t xml:space="preserve">graphic. We accept it as the</w:t>
      </w:r>
      <w:r>
        <w:t xml:space="preserve"> </w:t>
      </w:r>
      <w:r>
        <w:rPr>
          <w:b/>
          <w:bCs/>
        </w:rPr>
        <w:t xml:space="preserve">to-be picture</w:t>
      </w:r>
      <w:r>
        <w:t xml:space="preserve">: the end-to-end workflow we are building toward across the five modules and seven journeys. It captures the structure well.</w:t>
      </w:r>
    </w:p>
    <w:p>
      <w:pPr>
        <w:pStyle w:val="BodyText"/>
      </w:pPr>
      <w:r>
        <w:t xml:space="preserve">This note does two things:</w:t>
      </w:r>
    </w:p>
    <w:p>
      <w:pPr>
        <w:pStyle w:val="Compact"/>
        <w:numPr>
          <w:ilvl w:val="0"/>
          <w:numId w:val="1001"/>
        </w:numPr>
      </w:pPr>
      <w:r>
        <w:t xml:space="preserve">It clarifies a few places where the target design differs from how the graphic draws it, so the picture stays accurate as it is reused.</w:t>
      </w:r>
    </w:p>
    <w:p>
      <w:pPr>
        <w:pStyle w:val="Compact"/>
        <w:numPr>
          <w:ilvl w:val="0"/>
          <w:numId w:val="1001"/>
        </w:numPr>
      </w:pPr>
      <w:r>
        <w:t xml:space="preserve">It lists where</w:t>
      </w:r>
      <w:r>
        <w:t xml:space="preserve"> </w:t>
      </w:r>
      <w:r>
        <w:rPr>
          <w:b/>
          <w:bCs/>
        </w:rPr>
        <w:t xml:space="preserve">today’s build</w:t>
      </w:r>
      <w:r>
        <w:t xml:space="preserve"> </w:t>
      </w:r>
      <w:r>
        <w:t xml:space="preserve">stands against that target, module by module.</w:t>
      </w:r>
    </w:p>
    <w:bookmarkEnd w:id="9"/>
    <w:bookmarkStart w:id="10" w:name="Xb035d09f27a704c227c71add9158de05c8438f1"/>
    <w:p>
      <w:pPr>
        <w:pStyle w:val="Heading1"/>
      </w:pPr>
      <w:r>
        <w:t xml:space="preserve">Part 1. Clarifications to the target design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Graphic shows</w:t>
            </w:r>
          </w:p>
        </w:tc>
        <w:tc>
          <w:tcPr/>
          <w:p>
            <w:pPr>
              <w:pStyle w:val="Compact"/>
            </w:pPr>
            <w:r>
              <w:t xml:space="preserve">Target design</w:t>
            </w:r>
          </w:p>
        </w:tc>
      </w:tr>
      <w:tr>
        <w:tc>
          <w:tcPr/>
          <w:p>
            <w:pPr>
              <w:pStyle w:val="Compact"/>
            </w:pPr>
            <w:r>
              <w:t xml:space="preserve">Tenant records and approver tokens held in ces-shared</w:t>
            </w:r>
          </w:p>
        </w:tc>
        <w:tc>
          <w:tcPr/>
          <w:p>
            <w:pPr>
              <w:pStyle w:val="Compact"/>
            </w:pPr>
            <w:r>
              <w:t xml:space="preserve">ces-shared holds the contracts and the token format and check. Tenant records live in the tenant registry (ces-tenant). EvidenceOps issues approver tokens.</w:t>
            </w:r>
          </w:p>
        </w:tc>
      </w:tr>
      <w:tr>
        <w:tc>
          <w:tcPr/>
          <w:p>
            <w:pPr>
              <w:pStyle w:val="Compact"/>
            </w:pPr>
            <w:r>
              <w:t xml:space="preserve">ces-shared as the single source of truth</w:t>
            </w:r>
          </w:p>
        </w:tc>
        <w:tc>
          <w:tcPr/>
          <w:p>
            <w:pPr>
              <w:pStyle w:val="Compact"/>
            </w:pPr>
            <w:r>
              <w:t xml:space="preserve">That is the goal. Each customer’s configuration is serialised and tagged, so every module pulls the right file set and the whole set can be traced and managed as one. Today some data is still duplicated (see Part 2).</w:t>
            </w:r>
          </w:p>
        </w:tc>
      </w:tr>
      <w:tr>
        <w:tc>
          <w:tcPr/>
          <w:p>
            <w:pPr>
              <w:pStyle w:val="Compact"/>
            </w:pPr>
            <w:r>
              <w:t xml:space="preserve">The contractor executes the configuration; the BHD operator only runs discovery</w:t>
            </w:r>
          </w:p>
        </w:tc>
        <w:tc>
          <w:tcPr/>
          <w:p>
            <w:pPr>
              <w:pStyle w:val="Compact"/>
            </w:pPr>
            <w:r>
              <w:t xml:space="preserve">The BHD operator runs the engagement end to end: discovery, pushing the plan, running Stamper, switching on live access, and issuing approvals. The contractor’s administrator requests day-to-day changes in AdminOps.</w:t>
            </w:r>
          </w:p>
        </w:tc>
      </w:tr>
      <w:tr>
        <w:tc>
          <w:tcPr/>
          <w:p>
            <w:pPr>
              <w:pStyle w:val="Compact"/>
            </w:pPr>
            <w:r>
              <w:t xml:space="preserve">The compliance lead sits over AdminOps</w:t>
            </w:r>
          </w:p>
        </w:tc>
        <w:tc>
          <w:tcPr/>
          <w:p>
            <w:pPr>
              <w:pStyle w:val="Compact"/>
            </w:pPr>
            <w:r>
              <w:t xml:space="preserve">The compliance lead works in EvidenceOps: running assessments, uploading physical and procedural evidence, and signing the score.</w:t>
            </w:r>
          </w:p>
        </w:tc>
      </w:tr>
      <w:tr>
        <w:tc>
          <w:tcPr/>
          <w:p>
            <w:pPr>
              <w:pStyle w:val="Compact"/>
            </w:pPr>
            <w:r>
              <w:t xml:space="preserve">Two-person approval on every AdminOps change</w:t>
            </w:r>
          </w:p>
        </w:tc>
        <w:tc>
          <w:tcPr/>
          <w:p>
            <w:pPr>
              <w:pStyle w:val="Compact"/>
            </w:pPr>
            <w:r>
              <w:t xml:space="preserve">Two-person approval applies to the highest-risk tier of operations. Every operation defaults to a preview run. A development switch can turn the approval and security-key gates off for development and simulator work only, and is refused for live tenants. The second approver is a person at the contractor other than the requester.</w:t>
            </w:r>
          </w:p>
        </w:tc>
      </w:tr>
      <w:tr>
        <w:tc>
          <w:tcPr/>
          <w:p>
            <w:pPr>
              <w:pStyle w:val="Compact"/>
            </w:pPr>
            <w:r>
              <w:t xml:space="preserve">A single pipeline: Stamper → AdminOps → EvidenceOps</w:t>
            </w:r>
          </w:p>
        </w:tc>
        <w:tc>
          <w:tcPr/>
          <w:p>
            <w:pPr>
              <w:pStyle w:val="Compact"/>
            </w:pPr>
            <w:r>
              <w:t xml:space="preserve">Stamper (initial configuration) and AdminOps (day-to-day changes) are separate paths. Each sends its evidence straight to EvidenceOps, and Stamper reports results back to Muster.</w:t>
            </w:r>
          </w:p>
        </w:tc>
      </w:tr>
      <w:tr>
        <w:tc>
          <w:tcPr/>
          <w:p>
            <w:pPr>
              <w:pStyle w:val="Compact"/>
            </w:pPr>
            <w:r>
              <w:t xml:space="preserve">Evidence Collector inside EvidenceOps</w:t>
            </w:r>
          </w:p>
        </w:tc>
        <w:tc>
          <w:tcPr/>
          <w:p>
            <w:pPr>
              <w:pStyle w:val="Compact"/>
            </w:pPr>
            <w:r>
              <w:t xml:space="preserve">The Evidence Collector is its own module that feeds EvidenceOps. It is drawn correctly under Supporting Components.</w:t>
            </w:r>
          </w:p>
        </w:tc>
      </w:tr>
      <w:tr>
        <w:tc>
          <w:tcPr/>
          <w:p>
            <w:pPr>
              <w:pStyle w:val="Compact"/>
            </w:pPr>
            <w:r>
              <w:t xml:space="preserve">ces-tenant performs read-only discovery</w:t>
            </w:r>
          </w:p>
        </w:tc>
        <w:tc>
          <w:tcPr/>
          <w:p>
            <w:pPr>
              <w:pStyle w:val="Compact"/>
            </w:pPr>
            <w:r>
              <w:t xml:space="preserve">Discovering the customer’s existing configuration is Muster’s job. Muster connects with the customer’s consent. ces-tenant supplies the tenant record and variables to every module.</w:t>
            </w:r>
          </w:p>
        </w:tc>
      </w:tr>
      <w:tr>
        <w:tc>
          <w:tcPr/>
          <w:p>
            <w:pPr>
              <w:pStyle w:val="Compact"/>
            </w:pPr>
            <w:r>
              <w:t xml:space="preserve">Muster outputs a</w:t>
            </w:r>
            <w:r>
              <w:t xml:space="preserve"> </w:t>
            </w:r>
            <w:r>
              <w:t xml:space="preserve">“Plan Bundle”</w:t>
            </w:r>
            <w:r>
              <w:t xml:space="preserve"> </w:t>
            </w:r>
            <w:r>
              <w:t xml:space="preserve">and</w:t>
            </w:r>
            <w:r>
              <w:t xml:space="preserve"> </w:t>
            </w:r>
            <w:r>
              <w:t xml:space="preserve">“skill gaps”</w:t>
            </w:r>
          </w:p>
        </w:tc>
        <w:tc>
          <w:tcPr/>
          <w:p>
            <w:pPr>
              <w:pStyle w:val="Compact"/>
            </w:pPr>
            <w:r>
              <w:t xml:space="preserve">Muster’s outputs are the readiness record and the plan (Mission Plan with tenant and infrastructure manifests), plus the requirement gaps.</w:t>
            </w:r>
          </w:p>
        </w:tc>
      </w:tr>
      <w:tr>
        <w:tc>
          <w:tcPr/>
          <w:p>
            <w:pPr>
              <w:pStyle w:val="Compact"/>
            </w:pPr>
            <w:r>
              <w:t xml:space="preserve">No deployment boundary drawn</w:t>
            </w:r>
          </w:p>
        </w:tc>
        <w:tc>
          <w:tcPr/>
          <w:p>
            <w:pPr>
              <w:pStyle w:val="Compact"/>
            </w:pPr>
            <w:r>
              <w:t xml:space="preserve">Planning, configuration and administration run from a BHD control point. Evidence is collected and kept inside each client’s environment. No Controlled Unclassified Information flows into any BHD system. Muster records each client’s boundary for that information (its CUI object).</w:t>
            </w:r>
          </w:p>
        </w:tc>
      </w:tr>
      <w:tr>
        <w:tc>
          <w:tcPr/>
          <w:p>
            <w:pPr>
              <w:pStyle w:val="Compact"/>
            </w:pPr>
            <w:r>
              <w:t xml:space="preserve">Cloud not shown</w:t>
            </w:r>
          </w:p>
        </w:tc>
        <w:tc>
          <w:tcPr/>
          <w:p>
            <w:pPr>
              <w:pStyle w:val="Compact"/>
            </w:pPr>
            <w:r>
              <w:t xml:space="preserve">The first release supports Microsoft’s government cloud and its high-security tier. The high-security tier is required wherever export-controlled data exists.</w:t>
            </w:r>
          </w:p>
        </w:tc>
      </w:tr>
      <w:tr>
        <w:tc>
          <w:tcPr/>
          <w:p>
            <w:pPr>
              <w:pStyle w:val="Compact"/>
            </w:pPr>
            <w:r>
              <w:t xml:space="preserve">One System Security Plan from EvidenceOps</w:t>
            </w:r>
          </w:p>
        </w:tc>
        <w:tc>
          <w:tcPr/>
          <w:p>
            <w:pPr>
              <w:pStyle w:val="Compact"/>
            </w:pPr>
            <w:r>
              <w:t xml:space="preserve">Muster drafts the planned-state security plan. EvidenceOps keeps the evidence-backed plan current.</w:t>
            </w:r>
          </w:p>
        </w:tc>
      </w:tr>
    </w:tbl>
    <w:bookmarkEnd w:id="10"/>
    <w:bookmarkStart w:id="11" w:name="part-2.-todays-build-against-the-target"/>
    <w:p>
      <w:pPr>
        <w:pStyle w:val="Heading1"/>
      </w:pPr>
      <w:r>
        <w:t xml:space="preserve">Part 2. Today’s build against the target</w:t>
      </w:r>
    </w:p>
    <w:p>
      <w:pPr>
        <w:pStyle w:val="FirstParagraph"/>
      </w:pPr>
      <w:r>
        <w:t xml:space="preserve">Status comes from a check of the code on 1 October 2026, reviewed by BHD on 2 October.</w:t>
      </w:r>
    </w:p>
    <w:p>
      <w:pPr>
        <w:pStyle w:val="BodyText"/>
      </w:pPr>
      <w:r>
        <w:rPr>
          <w:b/>
          <w:bCs/>
        </w:rPr>
        <w:t xml:space="preserve">Status terms</w:t>
      </w:r>
      <w:r>
        <w:t xml:space="preserve"> </w:t>
      </w:r>
      <w:r>
        <w:t xml:space="preserve">-</w:t>
      </w:r>
      <w:r>
        <w:t xml:space="preserve"> </w:t>
      </w:r>
      <w:r>
        <w:rPr>
          <w:b/>
          <w:bCs/>
        </w:rPr>
        <w:t xml:space="preserve">Done:</w:t>
      </w:r>
      <w:r>
        <w:t xml:space="preserve"> </w:t>
      </w:r>
      <w:r>
        <w:t xml:space="preserve">built and tested.</w:t>
      </w:r>
      <w:r>
        <w:t xml:space="preserve"> </w:t>
      </w:r>
      <w:r>
        <w:t xml:space="preserve">-</w:t>
      </w:r>
      <w:r>
        <w:t xml:space="preserve"> </w:t>
      </w:r>
      <w:r>
        <w:rPr>
          <w:b/>
          <w:bCs/>
        </w:rPr>
        <w:t xml:space="preserve">Mostly built:</w:t>
      </w:r>
      <w:r>
        <w:t xml:space="preserve"> </w:t>
      </w:r>
      <w:r>
        <w:t xml:space="preserve">works, with a small amount left.</w:t>
      </w:r>
      <w:r>
        <w:t xml:space="preserve"> </w:t>
      </w:r>
      <w:r>
        <w:t xml:space="preserve">-</w:t>
      </w:r>
      <w:r>
        <w:t xml:space="preserve"> </w:t>
      </w:r>
      <w:r>
        <w:rPr>
          <w:b/>
          <w:bCs/>
        </w:rPr>
        <w:t xml:space="preserve">Partly built:</w:t>
      </w:r>
      <w:r>
        <w:t xml:space="preserve"> </w:t>
      </w:r>
      <w:r>
        <w:t xml:space="preserve">real pieces exist.</w:t>
      </w:r>
      <w:r>
        <w:t xml:space="preserve"> </w:t>
      </w:r>
      <w:r>
        <w:t xml:space="preserve">-</w:t>
      </w:r>
      <w:r>
        <w:t xml:space="preserve"> </w:t>
      </w:r>
      <w:r>
        <w:rPr>
          <w:b/>
          <w:bCs/>
        </w:rPr>
        <w:t xml:space="preserve">Not built:</w:t>
      </w:r>
      <w:r>
        <w:t xml:space="preserve"> </w:t>
      </w:r>
      <w:r>
        <w:t xml:space="preserve">not started.</w:t>
      </w:r>
    </w:p>
    <w:p>
      <w:pPr>
        <w:pStyle w:val="BodyText"/>
      </w:pPr>
      <w:r>
        <w:t xml:space="preserve">The current release has been exercised end to end on a simulated tenant. Earlier builds configured a live government-cloud tenant in March and April 2026. The current release has not yet been re-run on a live tenant.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Module</w:t>
            </w:r>
          </w:p>
        </w:tc>
        <w:tc>
          <w:tcPr/>
          <w:p>
            <w:pPr>
              <w:pStyle w:val="Compact"/>
            </w:pPr>
            <w:r>
              <w:t xml:space="preserve">Done</w:t>
            </w:r>
          </w:p>
        </w:tc>
        <w:tc>
          <w:tcPr/>
          <w:p>
            <w:pPr>
              <w:pStyle w:val="Compact"/>
            </w:pPr>
            <w:r>
              <w:t xml:space="preserve">Mostly built</w:t>
            </w:r>
          </w:p>
        </w:tc>
        <w:tc>
          <w:tcPr/>
          <w:p>
            <w:pPr>
              <w:pStyle w:val="Compact"/>
            </w:pPr>
            <w:r>
              <w:t xml:space="preserve">Partly built</w:t>
            </w:r>
          </w:p>
        </w:tc>
        <w:tc>
          <w:tcPr/>
          <w:p>
            <w:pPr>
              <w:pStyle w:val="Compact"/>
            </w:pPr>
            <w:r>
              <w:t xml:space="preserve">Not built</w:t>
            </w:r>
          </w:p>
        </w:tc>
        <w:tc>
          <w:tcPr/>
          <w:p>
            <w:pPr>
              <w:pStyle w:val="Compact"/>
            </w:pPr>
            <w:r>
              <w:t xml:space="preserve">Main differences from the graphic today</w:t>
            </w:r>
          </w:p>
        </w:tc>
      </w:tr>
      <w:tr>
        <w:tc>
          <w:tcPr/>
          <w:p>
            <w:pPr>
              <w:pStyle w:val="Compact"/>
            </w:pPr>
            <w:r>
              <w:t xml:space="preserve">ces-shared</w:t>
            </w:r>
          </w:p>
        </w:tc>
        <w:tc>
          <w:tcPr/>
          <w:p>
            <w:pPr>
              <w:pStyle w:val="Compact"/>
            </w:pPr>
            <w:r>
              <w:t xml:space="preserve">2</w:t>
            </w:r>
          </w:p>
        </w:tc>
        <w:tc>
          <w:tcPr/>
          <w:p>
            <w:pPr>
              <w:pStyle w:val="Compact"/>
            </w:pPr>
            <w:r>
              <w:t xml:space="preserve">3</w:t>
            </w:r>
          </w:p>
        </w:tc>
        <w:tc>
          <w:tcPr/>
          <w:p>
            <w:pPr>
              <w:pStyle w:val="Compact"/>
            </w:pPr>
            <w:r>
              <w:t xml:space="preserve">3</w:t>
            </w:r>
          </w:p>
        </w:tc>
        <w:tc>
          <w:tcPr/>
          <w:p>
            <w:pPr>
              <w:pStyle w:val="Compact"/>
            </w:pPr>
            <w:r>
              <w:t xml:space="preserve">0</w:t>
            </w:r>
          </w:p>
        </w:tc>
        <w:tc>
          <w:tcPr/>
          <w:p>
            <w:pPr>
              <w:pStyle w:val="Compact"/>
            </w:pPr>
            <w:r>
              <w:t xml:space="preserve">Some contract schemas still to publish. Some modules still keep their own copies instead of using the shared package.</w:t>
            </w:r>
          </w:p>
        </w:tc>
      </w:tr>
      <w:tr>
        <w:tc>
          <w:tcPr/>
          <w:p>
            <w:pPr>
              <w:pStyle w:val="Compact"/>
            </w:pPr>
            <w:r>
              <w:t xml:space="preserve">Muster</w:t>
            </w:r>
          </w:p>
        </w:tc>
        <w:tc>
          <w:tcPr/>
          <w:p>
            <w:pPr>
              <w:pStyle w:val="Compact"/>
            </w:pPr>
            <w:r>
              <w:t xml:space="preserve">6</w:t>
            </w:r>
          </w:p>
        </w:tc>
        <w:tc>
          <w:tcPr/>
          <w:p>
            <w:pPr>
              <w:pStyle w:val="Compact"/>
            </w:pPr>
            <w:r>
              <w:t xml:space="preserve">5</w:t>
            </w:r>
          </w:p>
        </w:tc>
        <w:tc>
          <w:tcPr/>
          <w:p>
            <w:pPr>
              <w:pStyle w:val="Compact"/>
            </w:pPr>
            <w:r>
              <w:t xml:space="preserve">13</w:t>
            </w:r>
          </w:p>
        </w:tc>
        <w:tc>
          <w:tcPr/>
          <w:p>
            <w:pPr>
              <w:pStyle w:val="Compact"/>
            </w:pPr>
            <w:r>
              <w:t xml:space="preserve">6</w:t>
            </w:r>
          </w:p>
        </w:tc>
        <w:tc>
          <w:tcPr/>
          <w:p>
            <w:pPr>
              <w:pStyle w:val="Compact"/>
            </w:pPr>
            <w:r>
              <w:t xml:space="preserve">Live discovery is built but gated, and tested only against stand-ins. The web app still keeps engagements locally rather than on the server. Question weighting and the final review pass are still to build. Policy documents and the planned-state security plan exist in Muster’s predecessor and are being carried over. The prime roll-up (J7) still uses sample data.</w:t>
            </w:r>
          </w:p>
        </w:tc>
      </w:tr>
      <w:tr>
        <w:tc>
          <w:tcPr/>
          <w:p>
            <w:pPr>
              <w:pStyle w:val="Compact"/>
            </w:pPr>
            <w:r>
              <w:t xml:space="preserve">Stamper</w:t>
            </w:r>
          </w:p>
        </w:tc>
        <w:tc>
          <w:tcPr/>
          <w:p>
            <w:pPr>
              <w:pStyle w:val="Compact"/>
            </w:pPr>
            <w:r>
              <w:t xml:space="preserve">7</w:t>
            </w:r>
          </w:p>
        </w:tc>
        <w:tc>
          <w:tcPr/>
          <w:p>
            <w:pPr>
              <w:pStyle w:val="Compact"/>
            </w:pPr>
            <w:r>
              <w:t xml:space="preserve">3</w:t>
            </w:r>
          </w:p>
        </w:tc>
        <w:tc>
          <w:tcPr/>
          <w:p>
            <w:pPr>
              <w:pStyle w:val="Compact"/>
            </w:pPr>
            <w:r>
              <w:t xml:space="preserve">5</w:t>
            </w:r>
          </w:p>
        </w:tc>
        <w:tc>
          <w:tcPr/>
          <w:p>
            <w:pPr>
              <w:pStyle w:val="Compact"/>
            </w:pPr>
            <w:r>
              <w:t xml:space="preserve">1</w:t>
            </w:r>
          </w:p>
        </w:tc>
        <w:tc>
          <w:tcPr/>
          <w:p>
            <w:pPr>
              <w:pStyle w:val="Compact"/>
            </w:pPr>
            <w:r>
              <w:t xml:space="preserve">The core configure, verify and report loop works. Still to do: an operator confirmation before granting directory permissions, broader live-path tests, and a run-time secrets reader. Rollback is deferred.</w:t>
            </w:r>
          </w:p>
        </w:tc>
      </w:tr>
      <w:tr>
        <w:tc>
          <w:tcPr/>
          <w:p>
            <w:pPr>
              <w:pStyle w:val="Compact"/>
            </w:pPr>
            <w:r>
              <w:t xml:space="preserve">AdminOps</w:t>
            </w:r>
          </w:p>
        </w:tc>
        <w:tc>
          <w:tcPr/>
          <w:p>
            <w:pPr>
              <w:pStyle w:val="Compact"/>
            </w:pPr>
            <w:r>
              <w:t xml:space="preserve">6</w:t>
            </w:r>
          </w:p>
        </w:tc>
        <w:tc>
          <w:tcPr/>
          <w:p>
            <w:pPr>
              <w:pStyle w:val="Compact"/>
            </w:pPr>
            <w:r>
              <w:t xml:space="preserve">8</w:t>
            </w:r>
          </w:p>
        </w:tc>
        <w:tc>
          <w:tcPr/>
          <w:p>
            <w:pPr>
              <w:pStyle w:val="Compact"/>
            </w:pPr>
            <w:r>
              <w:t xml:space="preserve">1</w:t>
            </w:r>
          </w:p>
        </w:tc>
        <w:tc>
          <w:tcPr/>
          <w:p>
            <w:pPr>
              <w:pStyle w:val="Compact"/>
            </w:pPr>
            <w:r>
              <w:t xml:space="preserve">4</w:t>
            </w:r>
          </w:p>
        </w:tc>
        <w:tc>
          <w:tcPr/>
          <w:p>
            <w:pPr>
              <w:pStyle w:val="Compact"/>
            </w:pPr>
            <w:r>
              <w:t xml:space="preserve">The 95-operation catalogue works on the simulator, and approvals are tenant-bound. Still to do: tighten the execution-time approval checks, retry on failed writes, and a daily reminder while a firewall is switched on (new). Operations that return customer content are not yet separated to run inside the client.</w:t>
            </w:r>
          </w:p>
        </w:tc>
      </w:tr>
      <w:tr>
        <w:tc>
          <w:tcPr/>
          <w:p>
            <w:pPr>
              <w:pStyle w:val="Compact"/>
            </w:pPr>
            <w:r>
              <w:t xml:space="preserve">EvidenceOps</w:t>
            </w:r>
          </w:p>
        </w:tc>
        <w:tc>
          <w:tcPr/>
          <w:p>
            <w:pPr>
              <w:pStyle w:val="Compact"/>
            </w:pPr>
            <w:r>
              <w:t xml:space="preserve">8</w:t>
            </w:r>
          </w:p>
        </w:tc>
        <w:tc>
          <w:tcPr/>
          <w:p>
            <w:pPr>
              <w:pStyle w:val="Compact"/>
            </w:pPr>
            <w:r>
              <w:t xml:space="preserve">6</w:t>
            </w:r>
          </w:p>
        </w:tc>
        <w:tc>
          <w:tcPr/>
          <w:p>
            <w:pPr>
              <w:pStyle w:val="Compact"/>
            </w:pPr>
            <w:r>
              <w:t xml:space="preserve">7</w:t>
            </w:r>
          </w:p>
        </w:tc>
        <w:tc>
          <w:tcPr/>
          <w:p>
            <w:pPr>
              <w:pStyle w:val="Compact"/>
            </w:pPr>
            <w:r>
              <w:t xml:space="preserve">2</w:t>
            </w:r>
          </w:p>
        </w:tc>
        <w:tc>
          <w:tcPr/>
          <w:p>
            <w:pPr>
              <w:pStyle w:val="Compact"/>
            </w:pPr>
            <w:r>
              <w:t xml:space="preserve">The 110-requirement assessment, score, security plan and POA&amp;M generate today. 85 requirements have automated checks; the rest rely on uploaded evidence. Scheduled capture covers one tenant so far. The assessor view still needs its role and link. The screen listing AdminOps executions is not built.</w:t>
            </w:r>
          </w:p>
        </w:tc>
      </w:tr>
      <w:tr>
        <w:tc>
          <w:tcPr/>
          <w:p>
            <w:pPr>
              <w:pStyle w:val="Compact"/>
            </w:pPr>
            <w:r>
              <w:t xml:space="preserve">Evidence Collector</w:t>
            </w:r>
          </w:p>
        </w:tc>
        <w:tc>
          <w:tcPr/>
          <w:p>
            <w:pPr>
              <w:pStyle w:val="Compact"/>
            </w:pPr>
            <w:r>
              <w:t xml:space="preserve">2</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Hashed upload works. Re-check on read and the written procedures for manual evidence are still to do.</w:t>
            </w:r>
          </w:p>
        </w:tc>
      </w:tr>
      <w:tr>
        <w:tc>
          <w:tcPr/>
          <w:p>
            <w:pPr>
              <w:pStyle w:val="Compact"/>
            </w:pPr>
            <w:r>
              <w:t xml:space="preserve">Tenant registry</w:t>
            </w:r>
          </w:p>
        </w:tc>
        <w:tc>
          <w:tcPr/>
          <w:p>
            <w:pPr>
              <w:pStyle w:val="Compact"/>
            </w:pPr>
            <w:r>
              <w:t xml:space="preserve">0</w:t>
            </w:r>
          </w:p>
        </w:tc>
        <w:tc>
          <w:tcPr/>
          <w:p>
            <w:pPr>
              <w:pStyle w:val="Compact"/>
            </w:pPr>
            <w:r>
              <w:t xml:space="preserve">0</w:t>
            </w:r>
          </w:p>
        </w:tc>
        <w:tc>
          <w:tcPr/>
          <w:p>
            <w:pPr>
              <w:pStyle w:val="Compact"/>
            </w:pPr>
            <w:r>
              <w:t xml:space="preserve">2</w:t>
            </w:r>
          </w:p>
        </w:tc>
        <w:tc>
          <w:tcPr/>
          <w:p>
            <w:pPr>
              <w:pStyle w:val="Compact"/>
            </w:pPr>
            <w:r>
              <w:t xml:space="preserve">0</w:t>
            </w:r>
          </w:p>
        </w:tc>
        <w:tc>
          <w:tcPr/>
          <w:p>
            <w:pPr>
              <w:pStyle w:val="Compact"/>
            </w:pPr>
            <w:r>
              <w:t xml:space="preserve">Shared registry seeding and the cloud-level field are still to add. Not every module reads tenant variables through it yet.</w:t>
            </w:r>
          </w:p>
        </w:tc>
      </w:tr>
      <w:tr>
        <w:tc>
          <w:tcPr/>
          <w:p>
            <w:pPr>
              <w:pStyle w:val="Compact"/>
            </w:pPr>
            <w:r>
              <w:t xml:space="preserve">Simulated tenant</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5</w:t>
            </w:r>
          </w:p>
        </w:tc>
        <w:tc>
          <w:tcPr/>
          <w:p>
            <w:pPr>
              <w:pStyle w:val="Compact"/>
            </w:pPr>
            <w:r>
              <w:t xml:space="preserve">Works for the current scenarios. A government-cloud profile and recorded-response fidelity checks are still to add.</w:t>
            </w:r>
          </w:p>
        </w:tc>
      </w:tr>
      <w:tr>
        <w:tc>
          <w:tcPr/>
          <w:p>
            <w:pPr>
              <w:pStyle w:val="Compact"/>
            </w:pPr>
            <w:r>
              <w:t xml:space="preserve">Hand-offs between modules</w:t>
            </w:r>
          </w:p>
        </w:tc>
        <w:tc>
          <w:tcPr/>
          <w:p>
            <w:pPr>
              <w:pStyle w:val="Compact"/>
            </w:pPr>
            <w:r>
              <w:t xml:space="preserve">2</w:t>
            </w:r>
          </w:p>
        </w:tc>
        <w:tc>
          <w:tcPr/>
          <w:p>
            <w:pPr>
              <w:pStyle w:val="Compact"/>
            </w:pPr>
            <w:r>
              <w:t xml:space="preserve">3</w:t>
            </w:r>
          </w:p>
        </w:tc>
        <w:tc>
          <w:tcPr/>
          <w:p>
            <w:pPr>
              <w:pStyle w:val="Compact"/>
            </w:pPr>
            <w:r>
              <w:t xml:space="preserve">5</w:t>
            </w:r>
          </w:p>
        </w:tc>
        <w:tc>
          <w:tcPr/>
          <w:p>
            <w:pPr>
              <w:pStyle w:val="Compact"/>
            </w:pPr>
            <w:r>
              <w:t xml:space="preserve">3</w:t>
            </w:r>
          </w:p>
        </w:tc>
        <w:tc>
          <w:tcPr/>
          <w:p>
            <w:pPr>
              <w:pStyle w:val="Compact"/>
            </w:pPr>
            <w:r>
              <w:t xml:space="preserve">Configuration evidence and Evidence Collector hand-offs are done. The readiness record, security-plan draft and policy hand-offs from Muster to EvidenceOps are still to build.</w:t>
            </w:r>
          </w:p>
        </w:tc>
      </w:tr>
    </w:tbl>
    <w:p>
      <w:pPr>
        <w:pStyle w:val="BodyText"/>
      </w:pPr>
      <w:r>
        <w:rPr>
          <w:b/>
          <w:bCs/>
        </w:rPr>
        <w:t xml:space="preserve">Journey readiness on the simulated tenant:</w:t>
      </w:r>
      <w:r>
        <w:t xml:space="preserve"> </w:t>
      </w:r>
      <w:r>
        <w:t xml:space="preserve">-</w:t>
      </w:r>
      <w:r>
        <w:t xml:space="preserve"> </w:t>
      </w:r>
      <w:r>
        <w:rPr>
          <w:b/>
          <w:bCs/>
        </w:rPr>
        <w:t xml:space="preserve">Core paths exercised, with the gaps listed above:</w:t>
      </w:r>
      <w:r>
        <w:t xml:space="preserve"> </w:t>
      </w:r>
      <w:r>
        <w:t xml:space="preserve">J1 readiness assessment, J3 plan to configured tenant, J4 governed admin change, J5 continuous evidence and assessor package, J6 physical and procedural evidence.</w:t>
      </w:r>
      <w:r>
        <w:t xml:space="preserve"> </w:t>
      </w:r>
      <w:r>
        <w:t xml:space="preserve">-</w:t>
      </w:r>
      <w:r>
        <w:t xml:space="preserve"> </w:t>
      </w:r>
      <w:r>
        <w:rPr>
          <w:b/>
          <w:bCs/>
        </w:rPr>
        <w:t xml:space="preserve">Built but gated:</w:t>
      </w:r>
      <w:r>
        <w:t xml:space="preserve"> </w:t>
      </w:r>
      <w:r>
        <w:t xml:space="preserve">J2 live discovery, pending live-tenant setup.</w:t>
      </w:r>
      <w:r>
        <w:t xml:space="preserve"> </w:t>
      </w:r>
      <w:r>
        <w:t xml:space="preserve">-</w:t>
      </w:r>
      <w:r>
        <w:t xml:space="preserve"> </w:t>
      </w:r>
      <w:r>
        <w:rPr>
          <w:b/>
          <w:bCs/>
        </w:rPr>
        <w:t xml:space="preserve">Not yet using real engagement data:</w:t>
      </w:r>
      <w:r>
        <w:t xml:space="preserve"> </w:t>
      </w:r>
      <w:r>
        <w:t xml:space="preserve">J7 prime oversight.</w:t>
      </w:r>
    </w:p>
    <w:bookmarkEnd w:id="11"/>
    <w:bookmarkStart w:id="12" w:name="part-3.-what-this-means-for-the-graphic"/>
    <w:p>
      <w:pPr>
        <w:pStyle w:val="Heading1"/>
      </w:pPr>
      <w:r>
        <w:t xml:space="preserve">Part 3. What this means for the graphic</w:t>
      </w:r>
    </w:p>
    <w:p>
      <w:pPr>
        <w:pStyle w:val="FirstParagraph"/>
      </w:pPr>
      <w:r>
        <w:t xml:space="preserve">No redraw is needed for the to-be picture. If the graphic is reused externally, three small changes would keep it accurate:</w:t>
      </w:r>
    </w:p>
    <w:p>
      <w:pPr>
        <w:pStyle w:val="Compact"/>
        <w:numPr>
          <w:ilvl w:val="0"/>
          <w:numId w:val="1002"/>
        </w:numPr>
      </w:pPr>
      <w:r>
        <w:t xml:space="preserve">Move tenant records and approver tokens out of the ces-shared box.</w:t>
      </w:r>
    </w:p>
    <w:p>
      <w:pPr>
        <w:pStyle w:val="Compact"/>
        <w:numPr>
          <w:ilvl w:val="0"/>
          <w:numId w:val="1002"/>
        </w:numPr>
      </w:pPr>
      <w:r>
        <w:t xml:space="preserve">Show the Evidence Collector only under Supporting Components.</w:t>
      </w:r>
    </w:p>
    <w:p>
      <w:pPr>
        <w:pStyle w:val="Compact"/>
        <w:numPr>
          <w:ilvl w:val="0"/>
          <w:numId w:val="1002"/>
        </w:numPr>
      </w:pPr>
      <w:r>
        <w:t xml:space="preserve">Add a simple boundary line between the BHD control point and the client environment.</w:t>
      </w:r>
    </w:p>
    <w:p>
      <w:pPr>
        <w:pStyle w:val="FirstParagraph"/>
      </w:pPr>
      <w:r>
        <w:t xml:space="preserve">The requirements document continues to evolve. Version 5, which reflects these points, will follow.</w:t>
      </w:r>
    </w:p>
    <w:p>
      <w:pPr>
        <w:pStyle w:val="BodyText"/>
      </w:pPr>
      <w:r>
        <w:t xml:space="preserve">Blue Heron Defense</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CES application workflow: clarification note</dc:title>
  <dc:creator/>
  <cp:keywords/>
  <dcterms:created xsi:type="dcterms:W3CDTF">2026-10-02T10:41:35Z</dcterms:created>
  <dcterms:modified xsi:type="dcterms:W3CDTF">2026-10-02T10:41:35Z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Response to the partner’s workflow graphic · 2 October 2026 · DRAFT, not sent</vt:lpwstr>
  </property>
</Properties>
</file>