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4E79"/>
          <w:sz w:val="40"/>
          <w:szCs w:val="40"/>
        </w:rPr>
        <w:t xml:space="preserve">Bank Data Platform</w:t>
      </w:r>
    </w:p>
    <w:p>
      <w:pPr>
        <w:spacing w:after="80"/>
      </w:pPr>
      <w:r>
        <w:rPr>
          <w:color w:val="404040"/>
          <w:sz w:val="28"/>
          <w:szCs w:val="28"/>
        </w:rPr>
        <w:t xml:space="preserve">Performance at Scale, Infrastructure, Security and Hosting — Summary</w:t>
      </w:r>
    </w:p>
    <w:p>
      <w:pPr>
        <w:pBdr>
          <w:bottom w:val="single" w:color="1F4E79" w:sz="8" w:space="4"/>
        </w:pBdr>
        <w:spacing w:after="240"/>
      </w:pPr>
      <w:r>
        <w:rPr>
          <w:color w:val="595959"/>
          <w:sz w:val="20"/>
          <w:szCs w:val="20"/>
        </w:rPr>
        <w:t xml:space="preserve">7 October 2026 · Internal briefing</w:t>
      </w:r>
    </w:p>
    <w:p>
      <w:pPr>
        <w:pStyle w:val="Heading1"/>
      </w:pPr>
      <w:r>
        <w:t xml:space="preserve">1. Key takeaways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Pipeline run time is dominated by fixed overhead, not row count.</w:t>
      </w:r>
      <w:r>
        <w:t xml:space="preserve"> 10,000 transactions take about 6–8 minutes end to end in Databricks — roughly the same as today's ~2,000-row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Screens stay fast as data grows.</w:t>
      </w:r>
      <w:r>
        <w:t xml:space="preserve"> Dashboards read small precomputed summary tables, so page speed is largely independent of transaction volume.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real pressure point is the number of flagged items, not the number of transactions.</w:t>
      </w:r>
      <w:r>
        <w:t xml:space="preserve"> A bad delivery that produces thousands of exceptions creates thousands of workflow tasks, which slows Camunda and the Tasks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cloud services scale to bank volumes; the current code does not yet.</w:t>
      </w:r>
      <w:r>
        <w:t xml:space="preserve"> Each run reprocesses and reloads the full dataset — fine up to ~100k transactions per run, heavy at 1M+, and blocked at ~1.9M by the 100 MB upload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Hosting estimate:</w:t>
      </w:r>
      <w:r>
        <w:t xml:space="preserve"> about $570–1,330/month (lean, single environment) or $2,400–3,500/month (HA plus dev and test) in Azure UAE North, </w:t>
      </w:r>
      <w:r>
        <w:rPr>
          <w:b/>
          <w:bCs/>
        </w:rPr>
        <w:t xml:space="preserve">excluding the Camunda Enterprise licence</w:t>
      </w:r>
      <w:r>
        <w:t xml:space="preserve"> (quote required).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Only one timing is recorded</w:t>
      </w:r>
      <w:r>
        <w:t xml:space="preserve"> ("about 6 minutes" on the demo data). All other figures are estimates from reading the code and should be confirmed by a benchmark.</w:t>
      </w:r>
    </w:p>
    <w:p>
      <w:pPr>
        <w:pStyle w:val="Heading1"/>
      </w:pPr>
      <w:r>
        <w:t xml:space="preserve">2. Infrastructure</w:t>
      </w:r>
    </w:p>
    <w:p>
      <w:pPr>
        <w:pStyle w:val="Heading2"/>
      </w:pPr>
      <w:r>
        <w:t xml:space="preserve">Today (proof of concept)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pipeline:</w:t>
      </w:r>
      <w:r>
        <w:t xml:space="preserve"> Azure Databricks, serverless compute, one 10-task job triggered by file arrival or "Refresh now".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Databases:</w:t>
      </w:r>
      <w:r>
        <w:t xml:space="preserve"> Neon PostgreSQL on AWS — one application database and a second project standing in for core banking.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 a developer laptop:</w:t>
      </w:r>
      <w:r>
        <w:t xml:space="preserve"> Camunda 8 (Zeebe, Tasklist, Elasticsearch in Docker, ~2.5 GB), FastAPI backend, React frontend, three bridge workers and the local AI assistant (Ollama).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Gaps:</w:t>
      </w:r>
      <w:r>
        <w:t xml:space="preserve"> single machine with no high availability, no alerting on failed runs, no central logging, workers are not supervised or restarted automatically.</w:t>
      </w:r>
    </w:p>
    <w:p>
      <w:pPr>
        <w:pStyle w:val="Heading2"/>
      </w:pPr>
      <w:r>
        <w:t xml:space="preserve">Production plan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Everything in Azure UAE North: Databricks serverless, Azure PostgreSQL Flexible Server (HA), Camunda on AKS, App Service for the API and workers, Static Web Apps for the frontend, Key Vault and Azure Monitor.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residency: Neon has no Gulf region, hence Azure PostgreSQL. Databricks serverless is not listed for Qatar Central; Qatar residency would need classic job clusters.</w:t>
      </w:r>
    </w:p>
    <w:p>
      <w:pPr>
        <w:pStyle w:val="Heading1"/>
      </w:pPr>
      <w:r>
        <w:t xml:space="preserve">3. Security</w:t>
      </w:r>
    </w:p>
    <w:p>
      <w:pPr>
        <w:pStyle w:val="Heading2"/>
      </w:pPr>
      <w:r>
        <w:t xml:space="preserve">In place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Passwords hashed with PBKDF2-SHA256 (200,000 iterations, salted, constant-time comparison).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session tokens (8 hours); seven roles with server-side checks; the auditor role is read-only.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Insert-only audit log, protected by database triggers against update, delete and truncate.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Credentials held in Databricks secret scopes, never in the application database.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AI assistant runs on the bank's own hardware — no data is sent to an outside AI service.</w:t>
      </w:r>
    </w:p>
    <w:p>
      <w:pPr>
        <w:pStyle w:val="Heading2"/>
      </w:pPr>
      <w:r>
        <w:t xml:space="preserve">Gaps to close before production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single sign-on or multi-factor authentication; no logout or token revocation.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rate limit on the login endpoint.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rules are enforced in the application only (no database row-level security).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Camunda runs with authentication off, Elasticsearch security off and a default demo login.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audit log's IP address field is never filled in.</w:t>
      </w:r>
    </w:p>
    <w:p>
      <w:pPr>
        <w:pStyle w:val="Heading1"/>
      </w:pPr>
      <w:r>
        <w:t xml:space="preserve">4. Data encryption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33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Today</w:t>
            </w:r>
          </w:p>
        </w:tc>
        <w:tc>
          <w:tcPr>
            <w:tcW w:type="dxa" w:w="33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Production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/ pipeline → database</w:t>
            </w:r>
          </w:p>
        </w:tc>
        <w:tc>
          <w:tcPr>
            <w:tcW w:type="dxa" w:w="3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Encrypted (TLS required)</w:t>
            </w:r>
          </w:p>
        </w:tc>
        <w:tc>
          <w:tcPr>
            <w:tcW w:type="dxa" w:w="3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TLS, private network endpoints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External sources (Salesforce, IMF, FX API)</w:t>
            </w:r>
          </w:p>
        </w:tc>
        <w:tc>
          <w:tcPr>
            <w:tcW w:type="dxa" w:w="33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Encrypted (HTTPS)</w:t>
            </w:r>
          </w:p>
        </w:tc>
        <w:tc>
          <w:tcPr>
            <w:tcW w:type="dxa" w:w="33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Unchanged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Browser → API</w:t>
            </w:r>
          </w:p>
        </w:tc>
        <w:tc>
          <w:tcPr>
            <w:tcW w:type="dxa" w:w="3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Plain HTTP on the local demo</w:t>
            </w:r>
          </w:p>
        </w:tc>
        <w:tc>
          <w:tcPr>
            <w:tcW w:type="dxa" w:w="3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 only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Inside the Camunda stack</w:t>
            </w:r>
          </w:p>
        </w:tc>
        <w:tc>
          <w:tcPr>
            <w:tcW w:type="dxa" w:w="33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Unencrypted</w:t>
            </w:r>
          </w:p>
        </w:tc>
        <w:tc>
          <w:tcPr>
            <w:tcW w:type="dxa" w:w="33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TLS / mutual TLS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at rest (Neon, Databricks)</w:t>
            </w:r>
          </w:p>
        </w:tc>
        <w:tc>
          <w:tcPr>
            <w:tcW w:type="dxa" w:w="3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Encrypted with provider-managed keys</w:t>
            </w:r>
          </w:p>
        </w:tc>
        <w:tc>
          <w:tcPr>
            <w:tcW w:type="dxa" w:w="3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Bank-controlled keys in Azure Key Vault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Customer personal data in tables</w:t>
            </w:r>
          </w:p>
        </w:tc>
        <w:tc>
          <w:tcPr>
            <w:tcW w:type="dxa" w:w="33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masking or column encryption</w:t>
            </w:r>
          </w:p>
        </w:tc>
        <w:tc>
          <w:tcPr>
            <w:tcW w:type="dxa" w:w="33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Masking / tokenisation of personal data</w:t>
            </w:r>
          </w:p>
        </w:tc>
      </w:tr>
    </w:tbl>
    <w:p>
      <w:pPr>
        <w:spacing w:after="160" w:before="60"/>
      </w:pPr>
      <w:r>
        <w:rPr>
          <w:i/>
          <w:iCs/>
          <w:color w:val="595959"/>
          <w:sz w:val="18"/>
          <w:szCs w:val="18"/>
        </w:rPr>
        <w:t xml:space="preserve">Laptop disk encryption (BitLocker) for local Elasticsearch data and logs has not been confirmed.</w:t>
      </w:r>
    </w:p>
    <w:p>
      <w:pPr>
        <w:pStyle w:val="Heading1"/>
      </w:pPr>
      <w:r>
        <w:t xml:space="preserve">5. Scalability</w:t>
      </w:r>
    </w:p>
    <w:p>
      <w:pPr>
        <w:pStyle w:val="Heading2"/>
      </w:pPr>
      <w:r>
        <w:t xml:space="preserve">Designed to scale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Layered pipeline: raw → cleaned → reporting tables.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Screens read precomputed summaries; Scenario Modelling recomputes in the browser.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Databricks serverless adds compute automatically; loads are all-or-nothing and safe to re-run.</w:t>
      </w:r>
    </w:p>
    <w:p>
      <w:pPr>
        <w:pStyle w:val="Heading2"/>
      </w:pPr>
      <w:r>
        <w:t xml:space="preserve">Limits in the current code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run is a </w:t>
      </w:r>
      <w:r>
        <w:rPr>
          <w:b/>
          <w:bCs/>
        </w:rPr>
        <w:t xml:space="preserve">full snapshot</w:t>
      </w:r>
      <w:r>
        <w:t xml:space="preserve">: all files are re-read and all transactions deleted and re-inserted in the database.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Uploads are capped at 100 MB per file (~1.9 million transactions).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data-quality exception becomes its own workflow task, with no grouping or cap.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Tasks page downloads every open task on each load and after every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endpoints still compute live from the full transactions table.</w:t>
      </w:r>
    </w:p>
    <w:p>
      <w:pPr>
        <w:pStyle w:val="Heading1"/>
      </w:pPr>
      <w:r>
        <w:t xml:space="preserve">6. Performance as the data scales</w:t>
      </w:r>
    </w:p>
    <w:p>
      <w:pPr>
        <w:pStyle w:val="Heading2"/>
      </w:pPr>
      <w:r>
        <w:t xml:space="preserve">6.1 Pipeline run time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2400"/>
        <w:gridCol w:w="4826"/>
      </w:tblGrid>
      <w:tr>
        <w:trPr>
          <w:tblHeader/>
        </w:trPr>
        <w:tc>
          <w:tcPr>
            <w:tcW w:type="dxa" w:w="18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Transactions per run</w:t>
            </w:r>
          </w:p>
        </w:tc>
        <w:tc>
          <w:tcPr>
            <w:tcW w:type="dxa" w:w="24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Estimated pipeline time</w:t>
            </w:r>
          </w:p>
        </w:tc>
        <w:tc>
          <w:tcPr>
            <w:tcW w:type="dxa" w:w="482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starts to matter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10,000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~6–8 min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Nothing — fixed start-up and per-table overhead dominate</w:t>
            </w:r>
          </w:p>
        </w:tc>
      </w:tr>
      <w:tr>
        <w:tc>
          <w:tcPr>
            <w:tcW w:type="dxa" w:w="18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100,000</w:t>
            </w:r>
          </w:p>
        </w:tc>
        <w:tc>
          <w:tcPr>
            <w:tcW w:type="dxa" w:w="2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~7–10 min</w:t>
            </w:r>
          </w:p>
        </w:tc>
        <w:tc>
          <w:tcPr>
            <w:tcW w:type="dxa" w:w="48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Still mostly overhead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1,000,000 (~54 MB)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~15–30 min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Full reload into PostgreSQL (Azure → AWS) becomes the bottleneck</w:t>
            </w:r>
          </w:p>
        </w:tc>
      </w:tr>
      <w:tr>
        <w:tc>
          <w:tcPr>
            <w:tcW w:type="dxa" w:w="18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2,000,000+</w:t>
            </w:r>
          </w:p>
        </w:tc>
        <w:tc>
          <w:tcPr>
            <w:tcW w:type="dxa" w:w="2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 possible via upload</w:t>
            </w:r>
          </w:p>
        </w:tc>
        <w:tc>
          <w:tcPr>
            <w:tcW w:type="dxa" w:w="48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MB upload limit; Neon free tier (0.5 GB) fills up</w:t>
            </w:r>
          </w:p>
        </w:tc>
      </w:tr>
    </w:tbl>
    <w:p>
      <w:pPr>
        <w:spacing w:after="160" w:before="60"/>
      </w:pPr>
      <w:r>
        <w:rPr>
          <w:i/>
          <w:iCs/>
          <w:color w:val="595959"/>
          <w:sz w:val="18"/>
          <w:szCs w:val="18"/>
        </w:rPr>
        <w:t xml:space="preserve">Serverless start-up adds under a minute in performance-optimised mode, or 4–6 minutes in standard mode.</w:t>
      </w:r>
    </w:p>
    <w:p>
      <w:pPr>
        <w:pStyle w:val="Heading2"/>
      </w:pPr>
      <w:r>
        <w:t xml:space="preserve">6.2 Where the time goes for 10,000 transactions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1800"/>
        <w:gridCol w:w="3626"/>
      </w:tblGrid>
      <w:tr>
        <w:trPr>
          <w:tblHeader/>
        </w:trPr>
        <w:tc>
          <w:tcPr>
            <w:tcW w:type="dxa" w:w="36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18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Estimate</w:t>
            </w:r>
          </w:p>
        </w:tc>
        <w:tc>
          <w:tcPr>
            <w:tcW w:type="dxa" w:w="362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Upload through the app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&lt; 5 s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~0.55 MB file</w:t>
            </w:r>
          </w:p>
        </w:tc>
      </w:tr>
      <w:tr>
        <w:tc>
          <w:tcPr>
            <w:tcW w:type="dxa" w:w="36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Trigger wait</w:t>
            </w:r>
          </w:p>
        </w:tc>
        <w:tc>
          <w:tcPr>
            <w:tcW w:type="dxa" w:w="18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0–2 min</w:t>
            </w:r>
          </w:p>
        </w:tc>
        <w:tc>
          <w:tcPr>
            <w:tcW w:type="dxa" w:w="36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2-minute quiet period, or none with Refresh now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Serverless start-up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0.5–6 min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Depends on performance mode</w:t>
            </w:r>
          </w:p>
        </w:tc>
      </w:tr>
      <w:tr>
        <w:tc>
          <w:tcPr>
            <w:tcW w:type="dxa" w:w="36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Notebook 1 — ingest and standardise</w:t>
            </w:r>
          </w:p>
        </w:tc>
        <w:tc>
          <w:tcPr>
            <w:tcW w:type="dxa" w:w="18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0.5–1 min</w:t>
            </w:r>
          </w:p>
        </w:tc>
        <w:tc>
          <w:tcPr>
            <w:tcW w:type="dxa" w:w="36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 files, corrections overlay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Notebook 2 — quality checks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0.5–1.5 min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28 checks</w:t>
            </w:r>
          </w:p>
        </w:tc>
      </w:tr>
      <w:tr>
        <w:tc>
          <w:tcPr>
            <w:tcW w:type="dxa" w:w="36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Notebooks 3–6 + reconciliation (parallel)</w:t>
            </w:r>
          </w:p>
        </w:tc>
        <w:tc>
          <w:tcPr>
            <w:tcW w:type="dxa" w:w="18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1–2 min</w:t>
            </w:r>
          </w:p>
        </w:tc>
        <w:tc>
          <w:tcPr>
            <w:tcW w:type="dxa" w:w="36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Live FX called once per currency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Load to PostgreSQL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1–2 min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up to 40 s if Neon is asleep</w:t>
            </w:r>
          </w:p>
        </w:tc>
      </w:tr>
      <w:tr>
        <w:tc>
          <w:tcPr>
            <w:tcW w:type="dxa" w:w="36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Tasks created by the bridge</w:t>
            </w:r>
          </w:p>
        </w:tc>
        <w:tc>
          <w:tcPr>
            <w:tcW w:type="dxa" w:w="18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0–5 min</w:t>
            </w:r>
          </w:p>
        </w:tc>
        <w:tc>
          <w:tcPr>
            <w:tcW w:type="dxa" w:w="36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Bridge polls every 5 minutes</w:t>
            </w:r>
          </w:p>
        </w:tc>
      </w:tr>
    </w:tbl>
    <w:p>
      <w:pPr>
        <w:pStyle w:val="Heading2"/>
      </w:pPr>
      <w:r>
        <w:t xml:space="preserve">6.3 What happens to a large dataset, step by step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Upload:</w:t>
      </w:r>
      <w:r>
        <w:t xml:space="preserve"> file checked (name, UTF-8, columns, ≤ 100 MB; for entity tables, warns if &gt; 20% of records would be dropped), then written to the landing folder, </w:t>
      </w:r>
      <w:r>
        <w:rPr>
          <w:b/>
          <w:bCs/>
        </w:rPr>
        <w:t xml:space="preserve">overwriting the previous file</w:t>
      </w:r>
      <w:r>
        <w:t xml:space="preserve"> — each upload must be the complete dataset.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Notebook 1:</w:t>
      </w:r>
      <w:r>
        <w:t xml:space="preserve"> reads files in parallel chunks, standardises dates, numbers and currencies, applies approved corrections; bad values become null and are kept.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Notebook 2:</w:t>
      </w:r>
      <w:r>
        <w:t xml:space="preserve"> runs checks in parallel; failed rows go to the exceptions table with the full original row. Weak spot: orphan IDs are gathered on one machine, so a delivery with hundreds of thousands of orphans slows this step.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Notebooks 3–6:</w:t>
      </w:r>
      <w:r>
        <w:t xml:space="preserve"> produce small summary tables (a few hundred rows) regardless of input size; fraud rules grow with volume but Spark handles 1M easily.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Load:</w:t>
      </w:r>
      <w:r>
        <w:t xml:space="preserve"> one all-or-nothing transaction deletes and re-inserts all core records. If anything fails, everything is rolled back and the screens keep the previous good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Workflow:</w:t>
      </w:r>
      <w:r>
        <w:t xml:space="preserve"> the bridge starts one Camunda process per new exception, one at a time, every 5 minutes.</w:t>
      </w:r>
    </w:p>
    <w:p>
      <w:pPr>
        <w:pStyle w:val="Heading2"/>
      </w:pPr>
      <w:r>
        <w:t xml:space="preserve">6.4 Workflow tasks and Camunda under load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3413"/>
        <w:gridCol w:w="3413"/>
      </w:tblGrid>
      <w:tr>
        <w:trPr>
          <w:tblHeader/>
        </w:trPr>
        <w:tc>
          <w:tcPr>
            <w:tcW w:type="dxa" w:w="22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New tasks</w:t>
            </w:r>
          </w:p>
        </w:tc>
        <w:tc>
          <w:tcPr>
            <w:tcW w:type="dxa" w:w="34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Time to create (bridge)</w:t>
            </w:r>
          </w:p>
        </w:tc>
        <w:tc>
          <w:tcPr>
            <w:tcW w:type="dxa" w:w="34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Tasks page load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~300</w:t>
            </w:r>
          </w:p>
        </w:tc>
        <w:tc>
          <w:tcPr>
            <w:tcW w:type="dxa" w:w="3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~15 s</w:t>
            </w:r>
          </w:p>
        </w:tc>
        <w:tc>
          <w:tcPr>
            <w:tcW w:type="dxa" w:w="3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~1 s</w:t>
            </w:r>
          </w:p>
        </w:tc>
      </w:tr>
      <w:tr>
        <w:tc>
          <w:tcPr>
            <w:tcW w:type="dxa" w:w="22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1,000</w:t>
            </w:r>
          </w:p>
        </w:tc>
        <w:tc>
          <w:tcPr>
            <w:tcW w:type="dxa" w:w="34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~1–3 min</w:t>
            </w:r>
          </w:p>
        </w:tc>
        <w:tc>
          <w:tcPr>
            <w:tcW w:type="dxa" w:w="34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~2–5 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10,000</w:t>
            </w:r>
          </w:p>
        </w:tc>
        <w:tc>
          <w:tcPr>
            <w:tcW w:type="dxa" w:w="3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~10–25 min + Camunda lag</w:t>
            </w:r>
          </w:p>
        </w:tc>
        <w:tc>
          <w:tcPr>
            <w:tcW w:type="dxa" w:w="3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~15–40 s; likely to fail</w:t>
            </w:r>
          </w:p>
        </w:tc>
      </w:tr>
      <w:tr>
        <w:tc>
          <w:tcPr>
            <w:tcW w:type="dxa" w:w="22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20,000</w:t>
            </w:r>
          </w:p>
        </w:tc>
        <w:tc>
          <w:tcPr>
            <w:tcW w:type="dxa" w:w="34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~20–50 min + Camunda lag</w:t>
            </w:r>
          </w:p>
        </w:tc>
        <w:tc>
          <w:tcPr>
            <w:tcW w:type="dxa" w:w="34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~30–90 s; likely to fail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How many tasks to expect:</w:t>
      </w:r>
      <w:r>
        <w:t xml:space="preserve"> normal 10k delivery (1–2% bad rows) ≈ 100–300 tasks. A broken file can produce one task per row. Fraud flags, duplicates and reconciliation breaks are already grouped or capped; data-quality exceptions are not.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Camunda impact:</w:t>
      </w:r>
      <w:r>
        <w:t xml:space="preserve"> each task writes 10–20 internal records; Elasticsearch receives them one per request (bulk size 1) on a 512 MB heap, so tasks appear in Tasklist minutes after they are started. Hard memory caps can restart a container under strain.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Likely failure point (from the code, not tested):</w:t>
      </w:r>
      <w:r>
        <w:t xml:space="preserve"> the Tasks page sends every transaction ID in one URL for an account lookup; with a few thousand tasks this exceeds URL limits and the whole page shows an error.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Reviewer experience:</w:t>
      </w:r>
      <w:r>
        <w:t xml:space="preserve"> the full task list is re-downloaded after every approval, so large queues make the page slow to use.</w:t>
      </w:r>
    </w:p>
    <w:p>
      <w:pPr>
        <w:pStyle w:val="Heading2"/>
      </w:pPr>
      <w:r>
        <w:t xml:space="preserve">6.5 Role of the current development PC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Intel i7-1185G7 (4 cores / 8 threads), 32 GB RAM, 256 GB SSD.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Does not affect pipeline speed</w:t>
      </w:r>
      <w:r>
        <w:t xml:space="preserve"> — data processing runs in Databricks.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Does affect</w:t>
      </w:r>
      <w:r>
        <w:t xml:space="preserve"> Camunda and the assistant: all local services share 4 cores (the Docker VM gets at most 4 CPUs / 3.77 GB); a thin-laptop chip throttles under sustained 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Network to Neon</w:t>
      </w:r>
      <w:r>
        <w:t xml:space="preserve"> is the main limit on task creation: every task start writes to the database over the internet.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the laptop sleeps, the bridge workers stop and nothing restarts them. Elasticsearch stops writing when the disk passes ~95% full.</w:t>
      </w:r>
    </w:p>
    <w:p>
      <w:pPr>
        <w:pStyle w:val="Heading1"/>
      </w:pPr>
      <w:r>
        <w:t xml:space="preserve">7. Hosting and costs (Azure UAE North, USD per month)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26"/>
        <w:gridCol w:w="1400"/>
        <w:gridCol w:w="1700"/>
        <w:gridCol w:w="2700"/>
      </w:tblGrid>
      <w:tr>
        <w:trPr>
          <w:tblHeader/>
        </w:trPr>
        <w:tc>
          <w:tcPr>
            <w:tcW w:type="dxa" w:w="322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14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Lean low</w:t>
            </w:r>
          </w:p>
        </w:tc>
        <w:tc>
          <w:tcPr>
            <w:tcW w:type="dxa" w:w="1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Lean expected</w:t>
            </w:r>
          </w:p>
        </w:tc>
        <w:tc>
          <w:tcPr>
            <w:tcW w:type="dxa" w:w="2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 + dev/test expected</w:t>
            </w:r>
          </w:p>
        </w:tc>
      </w:tr>
      <w:t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Databricks serverless jobs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375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525</w:t>
            </w:r>
          </w:p>
        </w:tc>
      </w:tr>
      <w:tr>
        <w:tc>
          <w:tcPr>
            <w:tcW w:type="dxa" w:w="32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Storage (ADLS Gen2)</w:t>
            </w:r>
          </w:p>
        </w:tc>
        <w:tc>
          <w:tcPr>
            <w:tcW w:type="dxa" w:w="1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1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</w:tr>
      <w:t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PostgreSQL Flexible Server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828</w:t>
            </w:r>
          </w:p>
        </w:tc>
      </w:tr>
      <w:tr>
        <w:tc>
          <w:tcPr>
            <w:tcW w:type="dxa" w:w="32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Camunda compute (VM / AKS)</w:t>
            </w:r>
          </w:p>
        </w:tc>
        <w:tc>
          <w:tcPr>
            <w:tcW w:type="dxa" w:w="1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193</w:t>
            </w:r>
          </w:p>
        </w:tc>
        <w:tc>
          <w:tcPr>
            <w:tcW w:type="dxa" w:w="1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193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1,038</w:t>
            </w:r>
          </w:p>
        </w:tc>
      </w:tr>
      <w:t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 + workers (App Service)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139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139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418</w:t>
            </w:r>
          </w:p>
        </w:tc>
      </w:tr>
      <w:tr>
        <w:tc>
          <w:tcPr>
            <w:tcW w:type="dxa" w:w="32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 (Static Web Apps)</w:t>
            </w:r>
          </w:p>
        </w:tc>
        <w:tc>
          <w:tcPr>
            <w:tcW w:type="dxa" w:w="1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1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</w:t>
            </w:r>
          </w:p>
        </w:tc>
      </w:tr>
      <w:t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 assistant (API / CPU / GPU)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356</w:t>
            </w:r>
          </w:p>
        </w:tc>
      </w:tr>
      <w:tr>
        <w:tc>
          <w:tcPr>
            <w:tcW w:type="dxa" w:w="32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Keycloak (SSO)</w:t>
            </w:r>
          </w:p>
        </w:tc>
        <w:tc>
          <w:tcPr>
            <w:tcW w:type="dxa" w:w="1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1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146</w:t>
            </w:r>
          </w:p>
        </w:tc>
      </w:tr>
      <w:t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Log Analytics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181</w:t>
            </w:r>
          </w:p>
        </w:tc>
      </w:tr>
      <w:tr>
        <w:tc>
          <w:tcPr>
            <w:tcW w:type="dxa" w:w="32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Egress</w:t>
            </w:r>
          </w:p>
        </w:tc>
        <w:tc>
          <w:tcPr>
            <w:tcW w:type="dxa" w:w="1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1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</w:tr>
      <w:t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Monthly total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~567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~1,327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~3,547</w:t>
            </w:r>
          </w:p>
        </w:tc>
      </w:tr>
      <w:tr>
        <w:tc>
          <w:tcPr>
            <w:tcW w:type="dxa" w:w="3226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Yearly total</w:t>
            </w:r>
          </w:p>
        </w:tc>
        <w:tc>
          <w:tcPr>
            <w:tcW w:type="dxa" w:w="14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~6.8k</w:t>
            </w:r>
          </w:p>
        </w:tc>
        <w:tc>
          <w:tcPr>
            <w:tcW w:type="dxa" w:w="1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~15.9k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~42.6k</w:t>
            </w:r>
          </w:p>
        </w:tc>
      </w:tr>
    </w:tbl>
    <w:p>
      <w:pPr>
        <w:spacing w:after="160" w:before="60"/>
      </w:pPr>
      <w:r>
        <w:rPr>
          <w:i/>
          <w:iCs/>
          <w:color w:val="595959"/>
          <w:sz w:val="18"/>
          <w:szCs w:val="18"/>
        </w:rPr>
        <w:t xml:space="preserve">Unit prices from official Azure, Databricks and vendor price pages, checked 2026-10-01. Databricks DBUs per run are an assumption (2 / 5 / 15) and should be measured. High-end scenarios: ~$5.3k (lean) and ~$8.9k (HA) per month.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Excluded:</w:t>
      </w:r>
      <w:r>
        <w:t xml:space="preserve"> Camunda Self-Managed Enterprise licence (quote only — possibly the largest single cost), Salesforce licences, Databricks Enhanced Security &amp; Compliance, Managed DR (+30% of Databricks spend), Private Link, Firewall, Defender, VM backups.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Biggest cost driver:</w:t>
      </w:r>
      <w:r>
        <w:t xml:space="preserve"> Databricks = runs per month × DBUs per run × $0.50/DBU-hour.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Savings options:</w:t>
      </w:r>
      <w:r>
        <w:t xml:space="preserve"> DBU pre-purchase (up to 37%), standard serverless mode, assistant on CPU, single Camunda VM, or replacing Camunda with a simpler status-based approval design to avoid the licence.</w:t>
      </w:r>
    </w:p>
    <w:p>
      <w:pPr>
        <w:pStyle w:val="Heading1"/>
      </w:pPr>
      <w:r>
        <w:t xml:space="preserve">8. Can the system handle large volumes?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Volume per day</w:t>
            </w:r>
          </w:p>
        </w:tc>
        <w:tc>
          <w:tcPr>
            <w:tcW w:type="dxa" w:w="35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Hosted, code as-is</w:t>
            </w:r>
          </w:p>
        </w:tc>
        <w:tc>
          <w:tcPr>
            <w:tcW w:type="dxa" w:w="35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Hosted, after changes in section 9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10,000</w:t>
            </w:r>
          </w:p>
        </w:tc>
        <w:tc>
          <w:tcPr>
            <w:tcW w:type="dxa" w:w="3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 — ~6–8 min per run</w:t>
            </w:r>
          </w:p>
        </w:tc>
        <w:tc>
          <w:tcPr>
            <w:tcW w:type="dxa" w:w="3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</w:tr>
      <w:tr>
        <w:tc>
          <w:tcPr>
            <w:tcW w:type="dxa" w:w="20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100,000</w:t>
            </w:r>
          </w:p>
        </w:tc>
        <w:tc>
          <w:tcPr>
            <w:tcW w:type="dxa" w:w="35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 — ~7–10 min</w:t>
            </w:r>
          </w:p>
        </w:tc>
        <w:tc>
          <w:tcPr>
            <w:tcW w:type="dxa" w:w="35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1,000,000</w:t>
            </w:r>
          </w:p>
        </w:tc>
        <w:tc>
          <w:tcPr>
            <w:tcW w:type="dxa" w:w="3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Works but wasteful — ~15–30 min</w:t>
            </w:r>
          </w:p>
        </w:tc>
        <w:tc>
          <w:tcPr>
            <w:tcW w:type="dxa" w:w="3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 — minutes (only the day's changes)</w:t>
            </w:r>
          </w:p>
        </w:tc>
      </w:tr>
      <w:tr>
        <w:tc>
          <w:tcPr>
            <w:tcW w:type="dxa" w:w="2000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2,000,000+</w:t>
            </w:r>
          </w:p>
        </w:tc>
        <w:tc>
          <w:tcPr>
            <w:tcW w:type="dxa" w:w="35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— upload limit, heavy full reload</w:t>
            </w:r>
          </w:p>
        </w:tc>
        <w:tc>
          <w:tcPr>
            <w:tcW w:type="dxa" w:w="3513"/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 — within normal platform capability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Bad delivery (thousands of exceptions)</w:t>
            </w:r>
          </w:p>
        </w:tc>
        <w:tc>
          <w:tcPr>
            <w:tcW w:type="dxa" w:w="3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— thousands of tasks; Tasks page likely fails</w:t>
            </w:r>
          </w:p>
        </w:tc>
        <w:tc>
          <w:tcPr>
            <w:tcW w:type="dxa" w:w="3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 — grouped into cases with a burst guard</w:t>
            </w:r>
          </w:p>
        </w:tc>
      </w:tr>
    </w:tbl>
    <w:p>
      <w:pPr>
        <w:pStyle w:val="Heading1"/>
      </w:pPr>
      <w:r>
        <w:t xml:space="preserve">9. Changes needed before production volumes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Incremental loads:</w:t>
      </w:r>
      <w:r>
        <w:t xml:space="preserve"> daily files with new transactions only; Auto Loader; Delta MERGE partitioned by date and country.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Push only changes to PostgreSQL,</w:t>
      </w:r>
      <w:r>
        <w:t xml:space="preserve"> or keep raw transactions out of it (screens need summaries and exceptions; drill-to-source can query Databricks).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Land large files directly</w:t>
      </w:r>
      <w:r>
        <w:t xml:space="preserve"> in storage (SFTP / ADLS) instead of the 100 MB app upload.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Group data-quality exceptions into cases</w:t>
      </w:r>
      <w:r>
        <w:t xml:space="preserve"> and add a "bad delivery" guard that raises one task instead of thousands.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Tasks page:</w:t>
      </w:r>
      <w:r>
        <w:t xml:space="preserve"> server-side filtering by group, paging, no full re-download after each action.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Bridge workers:</w:t>
      </w:r>
      <w:r>
        <w:t xml:space="preserve"> batch process starts and run them in the same region as the database.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Camunda tuning:</w:t>
      </w:r>
      <w:r>
        <w:t xml:space="preserve"> larger Elasticsearch bulk size, more heap, multiple partitions; run on 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API:</w:t>
      </w:r>
      <w:r>
        <w:t xml:space="preserve"> shared cache (Redis) before scaling out; move the two live endpoints to precomputed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Operations and security:</w:t>
      </w:r>
      <w:r>
        <w:t xml:space="preserve"> failure alerts, job timeouts, supervised workers, TLS everywhere, SSO/MFA, Key Vault keys, login rate limit.</w:t>
      </w:r>
    </w:p>
    <w:p>
      <w:pPr>
        <w:pStyle w:val="Heading1"/>
      </w:pPr>
      <w:r>
        <w:t xml:space="preserve">10. Notes for client conversations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Present the demo as a demo: laptop hosting, Neon on AWS, synthetic data and Camunda's disabled security are demo-only, not the target design.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Quote measured figures only as measured ("about 6 minutes on ~2,000 transactions"); label everything else as an estimate.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 not claim "real-time", "handles 2 million transactions", "bank-grade secure" or regulatory compliance; say "designed to meet these controls in production".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 placeholder KPI assumptions (NIM, cost-to-income, ROE) and that thresholds are bank-configurable settings.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Always mention the Camunda licence when discussing cost.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Lead with the differentiators: insert-only audit trail and drill-to-source on every number.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Suggested one-liner: "The cloud services underneath scale to bank volumes. The proof of concept reprocesses everything each run; for production we switch to incremental daily loads, so run time depends on what changed that day, not on the bank's total size."</w:t>
      </w:r>
    </w:p>
    <w:p>
      <w:pPr>
        <w:pStyle w:val="Heading1"/>
      </w:pPr>
      <w:r>
        <w:t xml:space="preserve">Appendix — basis of these figures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Recorded: pipeline run of "about 6 minutes" on the demo data (~1,900 transactions), per the demo guide; no run log is kept.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Estimates: derived from the code (pipeline job definition, notebooks, load script, bridge workers, Tasks page) and typical Spark, network and PostgreSQL behaviour; not load-tested.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Largest dataset run to date: ~2,349 transactions. No test at 100k, 1M or 2M.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Recommended next step: benchmark 10k / 100k / 1M synthetic transactions and 1k / 5k / 10k workflow tasks, and measure DBUs per run from Databricks billing data.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2E2E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at Scale - Summary</dc:title>
  <dc:creator>Bank Data Platform team</dc:creator>
  <cp:lastModifiedBy>Un-named</cp:lastModifiedBy>
  <cp:revision>1</cp:revision>
  <dcterms:created xsi:type="dcterms:W3CDTF">2026-10-07T06:05:31.769Z</dcterms:created>
  <dcterms:modified xsi:type="dcterms:W3CDTF">2026-10-07T06:05:31.769Z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