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0"/>
          <w:szCs w:val="40"/>
        </w:rPr>
        <w:t xml:space="preserve">Bank Data Platform</w:t>
      </w:r>
    </w:p>
    <w:p>
      <w:pPr>
        <w:spacing w:after="80"/>
      </w:pPr>
      <w:r>
        <w:rPr>
          <w:color w:val="404040"/>
          <w:sz w:val="28"/>
          <w:szCs w:val="28"/>
        </w:rPr>
        <w:t xml:space="preserve">Introduction, Client Answers, Performance at Scale, Security and Hosting — Summary</w:t>
      </w:r>
    </w:p>
    <w:p>
      <w:pPr>
        <w:pBdr>
          <w:bottom w:val="single" w:color="1F4E79" w:sz="8" w:space="4"/>
        </w:pBdr>
        <w:spacing w:after="240"/>
      </w:pPr>
      <w:r>
        <w:rPr>
          <w:color w:val="595959"/>
          <w:sz w:val="20"/>
          <w:szCs w:val="20"/>
        </w:rPr>
        <w:t xml:space="preserve">7 October 2026 · Internal briefing</w:t>
      </w:r>
    </w:p>
    <w:p>
      <w:pPr>
        <w:pStyle w:val="Heading1"/>
      </w:pPr>
      <w:r>
        <w:t xml:space="preserve">1. Key takeaways</w:t>
      </w:r>
    </w:p>
    <w:p>
      <w:pPr>
        <w:pStyle w:val="ListParagraph"/>
        <w:numPr>
          <w:ilvl w:val="0"/>
          <w:numId w:val="2"/>
        </w:numPr>
        <w:spacing w:after="60"/>
      </w:pPr>
      <w:r>
        <w:rPr>
          <w:b/>
          <w:bCs/>
        </w:rPr>
        <w:t xml:space="preserve">Pipeline run time is dominated by fixed overhead, not row count.</w:t>
      </w:r>
      <w:r>
        <w:t xml:space="preserve"> 10,000 transactions take about 6–8 minutes end to end in Databricks — roughly the same as today's ~2,000-row demo.</w:t>
      </w:r>
    </w:p>
    <w:p>
      <w:pPr>
        <w:pStyle w:val="ListParagraph"/>
        <w:numPr>
          <w:ilvl w:val="0"/>
          <w:numId w:val="2"/>
        </w:numPr>
        <w:spacing w:after="60"/>
      </w:pPr>
      <w:r>
        <w:rPr>
          <w:b/>
          <w:bCs/>
        </w:rPr>
        <w:t xml:space="preserve">Screens stay fast as data grows.</w:t>
      </w:r>
      <w:r>
        <w:t xml:space="preserve"> Dashboards read small precomputed summary tables, so page speed is largely independent of transaction volume.</w:t>
      </w:r>
    </w:p>
    <w:p>
      <w:pPr>
        <w:pStyle w:val="ListParagraph"/>
        <w:numPr>
          <w:ilvl w:val="0"/>
          <w:numId w:val="2"/>
        </w:numPr>
        <w:spacing w:after="60"/>
      </w:pPr>
      <w:r>
        <w:rPr>
          <w:b/>
          <w:bCs/>
        </w:rPr>
        <w:t xml:space="preserve">The real pressure point is the number of flagged items, not the number of transactions.</w:t>
      </w:r>
      <w:r>
        <w:t xml:space="preserve"> A bad delivery that produces thousands of exceptions creates thousands of workflow tasks, which slows Camunda and the Tasks page.</w:t>
      </w:r>
    </w:p>
    <w:p>
      <w:pPr>
        <w:pStyle w:val="ListParagraph"/>
        <w:numPr>
          <w:ilvl w:val="0"/>
          <w:numId w:val="2"/>
        </w:numPr>
        <w:spacing w:after="60"/>
      </w:pPr>
      <w:r>
        <w:rPr>
          <w:b/>
          <w:bCs/>
        </w:rPr>
        <w:t xml:space="preserve">The cloud services scale to bank volumes; the current code does not yet.</w:t>
      </w:r>
      <w:r>
        <w:t xml:space="preserve"> Each run reprocesses and reloads the full dataset — fine up to ~100k transactions per run, heavy at 1M+, and blocked at ~1.9M by the 100 MB upload limit.</w:t>
      </w:r>
    </w:p>
    <w:p>
      <w:pPr>
        <w:pStyle w:val="ListParagraph"/>
        <w:numPr>
          <w:ilvl w:val="0"/>
          <w:numId w:val="2"/>
        </w:numPr>
        <w:spacing w:after="60"/>
      </w:pPr>
      <w:r>
        <w:rPr>
          <w:b/>
          <w:bCs/>
        </w:rPr>
        <w:t xml:space="preserve">Hosting estimate:</w:t>
      </w:r>
      <w:r>
        <w:t xml:space="preserve"> about $570–1,330/month (lean, single environment) or $2,400–3,500/month (HA plus dev and test) in Azure UAE North, </w:t>
      </w:r>
      <w:r>
        <w:rPr>
          <w:b/>
          <w:bCs/>
        </w:rPr>
        <w:t xml:space="preserve">excluding the Camunda Enterprise licence</w:t>
      </w:r>
      <w:r>
        <w:t xml:space="preserve"> (quote required).</w:t>
      </w:r>
    </w:p>
    <w:p>
      <w:pPr>
        <w:pStyle w:val="ListParagraph"/>
        <w:numPr>
          <w:ilvl w:val="0"/>
          <w:numId w:val="2"/>
        </w:numPr>
        <w:spacing w:after="60"/>
      </w:pPr>
      <w:r>
        <w:rPr>
          <w:b/>
          <w:bCs/>
        </w:rPr>
        <w:t xml:space="preserve">Only one timing is recorded</w:t>
      </w:r>
      <w:r>
        <w:t xml:space="preserve"> ("about 6 minutes" on the demo data). All other figures are estimates from reading the code and should be confirmed by a benchmark.</w:t>
      </w:r>
    </w:p>
    <w:p>
      <w:pPr>
        <w:pStyle w:val="Heading1"/>
      </w:pPr>
      <w:r>
        <w:t xml:space="preserve">2. Introduction and architecture walkthrough</w:t>
      </w:r>
    </w:p>
    <w:p>
      <w:pPr>
        <w:spacing w:after="160" w:before="60"/>
      </w:pPr>
      <w:r>
        <w:rPr>
          <w:i/>
          <w:iCs/>
          <w:color w:val="595959"/>
          <w:sz w:val="18"/>
          <w:szCs w:val="18"/>
        </w:rPr>
        <w:t xml:space="preserve">Spoken scripts for a client meeting. They describe the platform as designed; where the demo differs, a "Today in the demo" line says so — say it rather than let the client find it.</w:t>
      </w:r>
    </w:p>
    <w:p>
      <w:pPr>
        <w:pStyle w:val="Heading2"/>
      </w:pPr>
      <w:r>
        <w:t xml:space="preserve">2.1 The introduction (about 90 seconds)</w:t>
      </w:r>
    </w:p>
    <w:p>
      <w:pPr>
        <w:pBdr>
          <w:left w:val="single" w:color="1F4E79" w:sz="18" w:space="10"/>
        </w:pBdr>
        <w:spacing w:after="120"/>
        <w:ind w:left="280"/>
      </w:pPr>
      <w:r>
        <w:t xml:space="preserve">"What we've built is one platform for the bank's data, its regulatory ratios and its approvals.</w:t>
      </w:r>
    </w:p>
    <w:p>
      <w:pPr>
        <w:pBdr>
          <w:left w:val="single" w:color="1F4E79" w:sz="18" w:space="10"/>
        </w:pBdr>
        <w:spacing w:after="120"/>
        <w:ind w:left="280"/>
      </w:pPr>
      <w:r>
        <w:t xml:space="preserve">In one sentence: it collects the data from the bank's core systems, checks it, calculates the ratios the regulator and the board watch, reconciles it against the bank's other systems, and sends every exception to the right person for a decision — with an audit trail behind every number.</w:t>
      </w:r>
    </w:p>
    <w:p>
      <w:pPr>
        <w:pBdr>
          <w:left w:val="single" w:color="1F4E79" w:sz="18" w:space="10"/>
        </w:pBdr>
        <w:spacing w:after="120"/>
        <w:ind w:left="280"/>
      </w:pPr>
      <w:r>
        <w:t xml:space="preserve">Five verbs, in order: </w:t>
      </w:r>
      <w:r>
        <w:rPr>
          <w:b/>
          <w:bCs/>
        </w:rPr>
        <w:t xml:space="preserve">Collect. Check. Calculate. Reconcile. Approve.</w:t>
      </w:r>
      <w:r>
        <w:t xml:space="preserve"> And a sixth running underneath all of them: </w:t>
      </w:r>
      <w:r>
        <w:rPr>
          <w:b/>
          <w:bCs/>
        </w:rPr>
        <w:t xml:space="preserve">Audit.</w:t>
      </w:r>
    </w:p>
    <w:p>
      <w:pPr>
        <w:pBdr>
          <w:left w:val="single" w:color="1F4E79" w:sz="18" w:space="10"/>
        </w:pBdr>
        <w:spacing w:after="120"/>
        <w:ind w:left="280"/>
      </w:pPr>
      <w:r>
        <w:t xml:space="preserve">Three design rules shaped every decision. First, </w:t>
      </w:r>
      <w:r>
        <w:rPr>
          <w:b/>
          <w:bCs/>
        </w:rPr>
        <w:t xml:space="preserve">every number can be traced</w:t>
      </w:r>
      <w:r>
        <w:t xml:space="preserve">: click a figure on a regulatory return and you see the formula, the source table and how many records produced it. Second, </w:t>
      </w:r>
      <w:r>
        <w:rPr>
          <w:b/>
          <w:bCs/>
        </w:rPr>
        <w:t xml:space="preserve">the software flags and people decide</w:t>
      </w:r>
      <w:r>
        <w:t xml:space="preserve">: nothing is corrected or approved automatically — a maker prepares, a checker approves, and the CFO signs off each run. Third, </w:t>
      </w:r>
      <w:r>
        <w:rPr>
          <w:b/>
          <w:bCs/>
        </w:rPr>
        <w:t xml:space="preserve">nothing is lost silently</w:t>
      </w:r>
      <w:r>
        <w:t xml:space="preserve">: a rejected record is kept with its original row, and every run compares what each source sent with what was kept."</w:t>
      </w:r>
    </w:p>
    <w:p>
      <w:pPr>
        <w:pStyle w:val="Heading2"/>
      </w:pPr>
      <w:r>
        <w:t xml:space="preserve">2.2 The architecture (about 3 minutes, then let them ask)</w:t>
      </w:r>
    </w:p>
    <w:p>
      <w:pPr>
        <w:pStyle w:val="ListParagraph"/>
        <w:numPr>
          <w:ilvl w:val="0"/>
          <w:numId w:val="2"/>
        </w:numPr>
        <w:spacing w:after="60"/>
      </w:pPr>
      <w:r>
        <w:rPr>
          <w:b/>
          <w:bCs/>
        </w:rPr>
        <w:t xml:space="preserve">Sources.</w:t>
      </w:r>
      <w:r>
        <w:t xml:space="preserve"> Core-banking extracts — customers, accounts, loans, transactions, branches, capital, daily liquidity — per country; the CRM (Salesforce); connectors for databases and APIs; live FX rates. Every row is stamped with its source system, country and delivery batch, and the stamp is never removed.</w:t>
      </w:r>
    </w:p>
    <w:p>
      <w:pPr>
        <w:pStyle w:val="ListParagraph"/>
        <w:numPr>
          <w:ilvl w:val="0"/>
          <w:numId w:val="2"/>
        </w:numPr>
        <w:spacing w:after="60"/>
      </w:pPr>
      <w:r>
        <w:rPr>
          <w:b/>
          <w:bCs/>
        </w:rPr>
        <w:t xml:space="preserve">Pipeline (Azure Databricks).</w:t>
      </w:r>
      <w:r>
        <w:t xml:space="preserve"> Three layers: raw, cleaned, reporting. It standardises dates, numbers and currencies, applies corrections people have approved, runs 28 data-quality checks and 9 fraud and business rules, calculates the eight headline ratios and the portfolio, branch and scenario figures, and reconciles what each source sent against what was kept.</w:t>
      </w:r>
    </w:p>
    <w:p>
      <w:pPr>
        <w:pStyle w:val="ListParagraph"/>
        <w:numPr>
          <w:ilvl w:val="0"/>
          <w:numId w:val="2"/>
        </w:numPr>
        <w:spacing w:after="60"/>
      </w:pPr>
      <w:r>
        <w:rPr>
          <w:b/>
          <w:bCs/>
        </w:rPr>
        <w:t xml:space="preserve">One database (PostgreSQL).</w:t>
      </w:r>
      <w:r>
        <w:t xml:space="preserve"> Each run is loaded in a single all-or-nothing step, so the screens never show a half-loaded day. Standard open format — the bank's data is never locked into our product.</w:t>
      </w:r>
    </w:p>
    <w:p>
      <w:pPr>
        <w:pStyle w:val="ListParagraph"/>
        <w:numPr>
          <w:ilvl w:val="0"/>
          <w:numId w:val="2"/>
        </w:numPr>
        <w:spacing w:after="60"/>
      </w:pPr>
      <w:r>
        <w:rPr>
          <w:b/>
          <w:bCs/>
        </w:rPr>
        <w:t xml:space="preserve">Screens, by role.</w:t>
      </w:r>
      <w:r>
        <w:t xml:space="preserve"> Seven roles, each with its own home and menu: Executive Summary, Portfolio &amp; Credit Risk, Regulatory Reporting with drill-to-source and PDF/Excel export, Scenario Modelling that recalculates instantly in the browser, Branch &amp; Segment Performance, and Tasks and Audit. Screens read precomputed summaries, so they stay fast as data grows.</w:t>
      </w:r>
    </w:p>
    <w:p>
      <w:pPr>
        <w:pStyle w:val="ListParagraph"/>
        <w:numPr>
          <w:ilvl w:val="0"/>
          <w:numId w:val="2"/>
        </w:numPr>
        <w:spacing w:after="60"/>
      </w:pPr>
      <w:r>
        <w:rPr>
          <w:b/>
          <w:bCs/>
        </w:rPr>
        <w:t xml:space="preserve">Workflow (Camunda).</w:t>
      </w:r>
      <w:r>
        <w:t xml:space="preserve"> Every exception — a failed check, a fraud case, a limit breach, a possible duplicate, a difference with another system — becomes a task with an owner, a severity and a due date. Maker-checker rules apply, the CFO approves the important items, and each run is signed off.</w:t>
      </w:r>
    </w:p>
    <w:p>
      <w:pPr>
        <w:pStyle w:val="ListParagraph"/>
        <w:numPr>
          <w:ilvl w:val="0"/>
          <w:numId w:val="2"/>
        </w:numPr>
        <w:spacing w:after="60"/>
      </w:pPr>
      <w:r>
        <w:rPr>
          <w:b/>
          <w:bCs/>
        </w:rPr>
        <w:t xml:space="preserve">Assistant.</w:t>
      </w:r>
      <w:r>
        <w:t xml:space="preserve"> A language model running on the bank's own hardware answers plain-language questions by choosing from an approved list of queries; it never writes SQL and never produces a number itself.</w:t>
      </w:r>
    </w:p>
    <w:p>
      <w:pPr>
        <w:pStyle w:val="ListParagraph"/>
        <w:numPr>
          <w:ilvl w:val="0"/>
          <w:numId w:val="2"/>
        </w:numPr>
        <w:spacing w:after="60"/>
      </w:pPr>
      <w:r>
        <w:rPr>
          <w:b/>
          <w:bCs/>
        </w:rPr>
        <w:t xml:space="preserve">Audit.</w:t>
      </w:r>
      <w:r>
        <w:t xml:space="preserve"> Every decision, approval and question is written to an insert-only log that cannot be edited or deleted.</w:t>
      </w:r>
    </w:p>
    <w:p>
      <w:pPr>
        <w:spacing w:after="200" w:before="40"/>
        <w:ind w:left="280"/>
      </w:pPr>
      <w:r>
        <w:rPr>
          <w:b/>
          <w:bCs/>
          <w:color w:val="9C5700"/>
          <w:sz w:val="19"/>
          <w:szCs w:val="19"/>
        </w:rPr>
        <w:t xml:space="preserve">Today in the demo: </w:t>
      </w:r>
      <w:r>
        <w:rPr>
          <w:color w:val="595959"/>
          <w:sz w:val="19"/>
          <w:szCs w:val="19"/>
        </w:rPr>
        <w:t xml:space="preserve">the pipeline runs on Azure Databricks; the database is Neon (AWS) and the workflow engine, API and assistant run on a laptop. Production deploys into the bank's own Azure tenant in-region.</w:t>
      </w:r>
    </w:p>
    <w:p>
      <w:pPr>
        <w:pStyle w:val="Heading1"/>
      </w:pPr>
      <w:r>
        <w:t xml:space="preserve">3. Prepared answers to client questions</w:t>
      </w:r>
    </w:p>
    <w:p>
      <w:pPr>
        <w:pStyle w:val="Heading2"/>
      </w:pPr>
      <w:r>
        <w:t xml:space="preserve">"How does data come into your system?"</w:t>
      </w:r>
    </w:p>
    <w:p>
      <w:pPr>
        <w:pBdr>
          <w:left w:val="single" w:color="1F4E79" w:sz="18" w:space="10"/>
        </w:pBdr>
        <w:spacing w:after="120"/>
        <w:ind w:left="280"/>
      </w:pPr>
      <w:r>
        <w:t xml:space="preserve">"We pull from the bank's existing systems; we never write back to them. Core-banking extracts arrive as files in a landing folder and start the pipeline automatically. Other systems connect from the Data ingestion screen with read-only logins — the CRM today, and databases, APIs, S3 or Snowflake through the same screen. Credentials go straight into a vault, never into our database.</w:t>
      </w:r>
    </w:p>
    <w:p>
      <w:pPr>
        <w:pBdr>
          <w:left w:val="single" w:color="1F4E79" w:sz="18" w:space="10"/>
        </w:pBdr>
        <w:spacing w:after="120"/>
        <w:ind w:left="280"/>
      </w:pPr>
      <w:r>
        <w:t xml:space="preserve">Every delivery is checked before it's accepted: the wrong file, missing columns, or a file that would remove a large share of the records is stopped with a plain explanation. In production the historical archive comes across once as a bulk migration, each interface is documented in an interface catalogue with its field mapping, and a failed run raises an alert."</w:t>
      </w:r>
    </w:p>
    <w:p>
      <w:pPr>
        <w:spacing w:after="200" w:before="40"/>
        <w:ind w:left="280"/>
      </w:pPr>
      <w:r>
        <w:rPr>
          <w:b/>
          <w:bCs/>
          <w:color w:val="9C5700"/>
          <w:sz w:val="19"/>
          <w:szCs w:val="19"/>
        </w:rPr>
        <w:t xml:space="preserve">Today in the demo: </w:t>
      </w:r>
      <w:r>
        <w:rPr>
          <w:color w:val="595959"/>
          <w:sz w:val="19"/>
          <w:szCs w:val="19"/>
        </w:rPr>
        <w:t xml:space="preserve">CSV upload and Salesforce are live. The PostgreSQL, REST API, S3 and Snowflake cards save credentials but do not pull data yet. There is no alerting, no interface catalogue and no historical migration yet. Each upload replaces the previous file, so every delivery must be a full snapshot.</w:t>
      </w:r>
    </w:p>
    <w:p>
      <w:pPr>
        <w:pStyle w:val="Heading2"/>
      </w:pPr>
      <w:r>
        <w:t xml:space="preserve">"What does the infrastructure look like?"</w:t>
      </w:r>
    </w:p>
    <w:p>
      <w:pPr>
        <w:pBdr>
          <w:left w:val="single" w:color="1F4E79" w:sz="18" w:space="10"/>
        </w:pBdr>
        <w:spacing w:after="120"/>
        <w:ind w:left="280"/>
      </w:pPr>
      <w:r>
        <w:t xml:space="preserve">"Standard cloud services, nothing exotic. Four roles: </w:t>
      </w:r>
      <w:r>
        <w:rPr>
          <w:b/>
          <w:bCs/>
        </w:rPr>
        <w:t xml:space="preserve">data processing</w:t>
      </w:r>
      <w:r>
        <w:t xml:space="preserve"> on Azure Databricks serverless, which adds compute automatically; a </w:t>
      </w:r>
      <w:r>
        <w:rPr>
          <w:b/>
          <w:bCs/>
        </w:rPr>
        <w:t xml:space="preserve">database</w:t>
      </w:r>
      <w:r>
        <w:t xml:space="preserve"> node for PostgreSQL; </w:t>
      </w:r>
      <w:r>
        <w:rPr>
          <w:b/>
          <w:bCs/>
        </w:rPr>
        <w:t xml:space="preserve">application</w:t>
      </w:r>
      <w:r>
        <w:t xml:space="preserve"> services for the API, website and workflow engine on Kubernetes (AKS); and an optional </w:t>
      </w:r>
      <w:r>
        <w:rPr>
          <w:b/>
          <w:bCs/>
        </w:rPr>
        <w:t xml:space="preserve">GPU</w:t>
      </w:r>
      <w:r>
        <w:t xml:space="preserve"> for the assistant, which also runs on CPU. It scales by adding capacity, not by replacing the platform.</w:t>
      </w:r>
    </w:p>
    <w:p>
      <w:pPr>
        <w:pBdr>
          <w:left w:val="single" w:color="1F4E79" w:sz="18" w:space="10"/>
        </w:pBdr>
        <w:spacing w:after="120"/>
        <w:ind w:left="280"/>
      </w:pPr>
      <w:r>
        <w:t xml:space="preserve">We won't quote exact sizes today, because proper sizing needs the bank's volumes: countries, transactions per day, how much history to keep, runs per day and concurrent users. Give us those and we'll size Development, Test, Production and DR properly rather than guess."</w:t>
      </w:r>
    </w:p>
    <w:p>
      <w:pPr>
        <w:pStyle w:val="ListParagraph"/>
        <w:numPr>
          <w:ilvl w:val="0"/>
          <w:numId w:val="2"/>
        </w:numPr>
        <w:spacing w:after="60"/>
      </w:pPr>
      <w:r>
        <w:t xml:space="preserve">If the bank requires its own data centre, the database, application and workflow layers run as containers on its Kubernetes (OpenShift or RKE2); the pipeline layer would need Azure Databricks or an on-premises Spark platform instead.</w:t>
      </w:r>
    </w:p>
    <w:p>
      <w:pPr>
        <w:spacing w:after="200" w:before="40"/>
        <w:ind w:left="280"/>
      </w:pPr>
      <w:r>
        <w:rPr>
          <w:b/>
          <w:bCs/>
          <w:color w:val="9C5700"/>
          <w:sz w:val="19"/>
          <w:szCs w:val="19"/>
        </w:rPr>
        <w:t xml:space="preserve">Today in the demo: </w:t>
      </w:r>
      <w:r>
        <w:rPr>
          <w:color w:val="595959"/>
          <w:sz w:val="19"/>
          <w:szCs w:val="19"/>
        </w:rPr>
        <w:t xml:space="preserve">one laptop plus Neon and Databricks; no HA or DR. Indicative costs are in section 9.</w:t>
      </w:r>
    </w:p>
    <w:p>
      <w:pPr>
        <w:pStyle w:val="Heading2"/>
      </w:pPr>
      <w:r>
        <w:t xml:space="preserve">"How is the data encrypted?"</w:t>
      </w:r>
    </w:p>
    <w:p>
      <w:pPr>
        <w:pBdr>
          <w:left w:val="single" w:color="1F4E79" w:sz="18" w:space="10"/>
        </w:pBdr>
        <w:spacing w:after="120"/>
        <w:ind w:left="280"/>
      </w:pPr>
      <w:r>
        <w:t xml:space="preserve">"In production everything is stored inside the bank's Azure tenant, in the region, and encrypted at rest — the database, the pipeline tables and the landed files — with keys the bank holds in its own Key Vault rather than in any configuration file. Traffic between components is TLS. Passwords are stored only as salted hashes, and connector credentials live in a vault. Nothing is written outside that boundary."</w:t>
      </w:r>
    </w:p>
    <w:p>
      <w:pPr>
        <w:spacing w:after="200" w:before="40"/>
        <w:ind w:left="280"/>
      </w:pPr>
      <w:r>
        <w:rPr>
          <w:b/>
          <w:bCs/>
          <w:color w:val="9C5700"/>
          <w:sz w:val="19"/>
          <w:szCs w:val="19"/>
        </w:rPr>
        <w:t xml:space="preserve">Today in the demo: </w:t>
      </w:r>
      <w:r>
        <w:rPr>
          <w:color w:val="595959"/>
          <w:sz w:val="19"/>
          <w:szCs w:val="19"/>
        </w:rPr>
        <w:t xml:space="preserve">database connections are TLS-encrypted; storage is encrypted with the providers' own keys; the browser link and the workflow engine are unencrypted on the laptop. Original files are overwritten by each new upload — production should keep each delivery unchanged, with a fingerprint, so any figure can be traced to the exact file received.</w:t>
      </w:r>
    </w:p>
    <w:p>
      <w:pPr>
        <w:pStyle w:val="Heading2"/>
      </w:pPr>
      <w:r>
        <w:t xml:space="preserve">"How is it secure?"</w:t>
      </w:r>
    </w:p>
    <w:p>
      <w:pPr>
        <w:pBdr>
          <w:left w:val="single" w:color="1F4E79" w:sz="18" w:space="10"/>
        </w:pBdr>
        <w:spacing w:after="120"/>
        <w:ind w:left="280"/>
      </w:pPr>
      <w:r>
        <w:t xml:space="preserve">"Four layers. </w:t>
      </w:r>
      <w:r>
        <w:rPr>
          <w:b/>
          <w:bCs/>
        </w:rPr>
        <w:t xml:space="preserve">The data stays in the bank's region.</w:t>
      </w:r>
      <w:r>
        <w:t xml:space="preserve"> </w:t>
      </w:r>
      <w:r>
        <w:rPr>
          <w:b/>
          <w:bCs/>
        </w:rPr>
        <w:t xml:space="preserve">Access is by role</w:t>
      </w:r>
      <w:r>
        <w:t xml:space="preserve">, checked on the server for every request, with maker-checker separation and a read-only auditor; production adds single sign-on with multi-factor login and access limited by country. </w:t>
      </w:r>
      <w:r>
        <w:rPr>
          <w:b/>
          <w:bCs/>
        </w:rPr>
        <w:t xml:space="preserve">Everything is encrypted</w:t>
      </w:r>
      <w:r>
        <w:t xml:space="preserve"> in transit and at rest. And </w:t>
      </w:r>
      <w:r>
        <w:rPr>
          <w:b/>
          <w:bCs/>
        </w:rPr>
        <w:t xml:space="preserve">the audit log is insert-only</w:t>
      </w:r>
      <w:r>
        <w:t xml:space="preserve"> — the database refuses edits and deletions — so you can show a regulator that the record was not altered."</w:t>
      </w:r>
    </w:p>
    <w:p>
      <w:pPr>
        <w:spacing w:after="200" w:before="40"/>
        <w:ind w:left="280"/>
      </w:pPr>
      <w:r>
        <w:rPr>
          <w:b/>
          <w:bCs/>
          <w:color w:val="9C5700"/>
          <w:sz w:val="19"/>
          <w:szCs w:val="19"/>
        </w:rPr>
        <w:t xml:space="preserve">Today in the demo: </w:t>
      </w:r>
      <w:r>
        <w:rPr>
          <w:color w:val="595959"/>
          <w:sz w:val="19"/>
          <w:szCs w:val="19"/>
        </w:rPr>
        <w:t xml:space="preserve">role checks and the insert-only audit log are built. There is no SSO or MFA, no login rate limit and no row-level access by country, and the workflow engine runs with security switched off. A hash-chained audit log, where each entry fingerprints the one before so any change is visible, would strengthen the tamper-evidence claim.</w:t>
      </w:r>
    </w:p>
    <w:p>
      <w:pPr>
        <w:pStyle w:val="Heading2"/>
      </w:pPr>
      <w:r>
        <w:t xml:space="preserve">"What's the AI, exactly?"</w:t>
      </w:r>
    </w:p>
    <w:p>
      <w:pPr>
        <w:pBdr>
          <w:left w:val="single" w:color="1F4E79" w:sz="18" w:space="10"/>
        </w:pBdr>
        <w:spacing w:after="120"/>
        <w:ind w:left="280"/>
      </w:pPr>
      <w:r>
        <w:t xml:space="preserve">"Three pieces, and none of them makes a decision. A </w:t>
      </w:r>
      <w:r>
        <w:rPr>
          <w:b/>
          <w:bCs/>
        </w:rPr>
        <w:t xml:space="preserve">rules engine</w:t>
      </w:r>
      <w:r>
        <w:t xml:space="preserve"> — 28 data-quality checks and 9 fraud and business rules — where every flag says which rule fired and why. A </w:t>
      </w:r>
      <w:r>
        <w:rPr>
          <w:b/>
          <w:bCs/>
        </w:rPr>
        <w:t xml:space="preserve">matching step</w:t>
      </w:r>
      <w:r>
        <w:t xml:space="preserve"> that finds companies recorded more than once, by cleaning names and scoring how similar they are; it proposes pairs and a person confirms, it never merges on its own. And a </w:t>
      </w:r>
      <w:r>
        <w:rPr>
          <w:b/>
          <w:bCs/>
        </w:rPr>
        <w:t xml:space="preserve">language model running on the bank's own hardware</w:t>
      </w:r>
      <w:r>
        <w:t xml:space="preserve"> that turns a plain-language question into one of an approved set of queries; the numbers come from the database, not the model, and every question is logged.</w:t>
      </w:r>
    </w:p>
    <w:p>
      <w:pPr>
        <w:pBdr>
          <w:left w:val="single" w:color="1F4E79" w:sz="18" w:space="10"/>
        </w:pBdr>
        <w:spacing w:after="120"/>
        <w:ind w:left="280"/>
      </w:pPr>
      <w:r>
        <w:t xml:space="preserve">A machine-learning anomaly score is designed as the next phase, and it will be a signal for a person to review, never a decision."</w:t>
      </w:r>
    </w:p>
    <w:p>
      <w:pPr>
        <w:spacing w:after="200" w:before="40"/>
        <w:ind w:left="280"/>
      </w:pPr>
      <w:r>
        <w:rPr>
          <w:b/>
          <w:bCs/>
          <w:color w:val="9C5700"/>
          <w:sz w:val="19"/>
          <w:szCs w:val="19"/>
        </w:rPr>
        <w:t xml:space="preserve">Today in the demo: </w:t>
      </w:r>
      <w:r>
        <w:rPr>
          <w:color w:val="595959"/>
          <w:sz w:val="19"/>
          <w:szCs w:val="19"/>
        </w:rPr>
        <w:t xml:space="preserve">this is mostly rules, not machine learning — say so rather than oversell. The assistant runs on a laptop CPU (about 3–6 seconds per question).</w:t>
      </w:r>
    </w:p>
    <w:p>
      <w:pPr>
        <w:pStyle w:val="Heading1"/>
      </w:pPr>
      <w:r>
        <w:t xml:space="preserve">4. Infrastructure</w:t>
      </w:r>
    </w:p>
    <w:p>
      <w:pPr>
        <w:pStyle w:val="Heading2"/>
      </w:pPr>
      <w:r>
        <w:t xml:space="preserve">Today (proof of concept)</w:t>
      </w:r>
    </w:p>
    <w:p>
      <w:pPr>
        <w:pStyle w:val="ListParagraph"/>
        <w:numPr>
          <w:ilvl w:val="0"/>
          <w:numId w:val="2"/>
        </w:numPr>
        <w:spacing w:after="60"/>
      </w:pPr>
      <w:r>
        <w:rPr>
          <w:b/>
          <w:bCs/>
        </w:rPr>
        <w:t xml:space="preserve">Data pipeline:</w:t>
      </w:r>
      <w:r>
        <w:t xml:space="preserve"> Azure Databricks, serverless compute, one 10-task job triggered by file arrival or "Refresh now".</w:t>
      </w:r>
    </w:p>
    <w:p>
      <w:pPr>
        <w:pStyle w:val="ListParagraph"/>
        <w:numPr>
          <w:ilvl w:val="0"/>
          <w:numId w:val="2"/>
        </w:numPr>
        <w:spacing w:after="60"/>
      </w:pPr>
      <w:r>
        <w:rPr>
          <w:b/>
          <w:bCs/>
        </w:rPr>
        <w:t xml:space="preserve">Databases:</w:t>
      </w:r>
      <w:r>
        <w:t xml:space="preserve"> Neon PostgreSQL on AWS — one application database and a second project standing in for core banking.</w:t>
      </w:r>
    </w:p>
    <w:p>
      <w:pPr>
        <w:pStyle w:val="ListParagraph"/>
        <w:numPr>
          <w:ilvl w:val="0"/>
          <w:numId w:val="2"/>
        </w:numPr>
        <w:spacing w:after="60"/>
      </w:pPr>
      <w:r>
        <w:rPr>
          <w:b/>
          <w:bCs/>
        </w:rPr>
        <w:t xml:space="preserve">On a developer laptop:</w:t>
      </w:r>
      <w:r>
        <w:t xml:space="preserve"> Camunda 8 (Zeebe, Tasklist, Elasticsearch in Docker, ~2.5 GB), FastAPI backend, React frontend, three bridge workers and the local AI assistant (Ollama).</w:t>
      </w:r>
    </w:p>
    <w:p>
      <w:pPr>
        <w:pStyle w:val="ListParagraph"/>
        <w:numPr>
          <w:ilvl w:val="0"/>
          <w:numId w:val="2"/>
        </w:numPr>
        <w:spacing w:after="60"/>
      </w:pPr>
      <w:r>
        <w:rPr>
          <w:b/>
          <w:bCs/>
        </w:rPr>
        <w:t xml:space="preserve">Gaps:</w:t>
      </w:r>
      <w:r>
        <w:t xml:space="preserve"> single machine with no high availability, no alerting on failed runs, no central logging, workers are not supervised or restarted automatically.</w:t>
      </w:r>
    </w:p>
    <w:p>
      <w:pPr>
        <w:pStyle w:val="Heading2"/>
      </w:pPr>
      <w:r>
        <w:t xml:space="preserve">Production plan</w:t>
      </w:r>
    </w:p>
    <w:p>
      <w:pPr>
        <w:pStyle w:val="ListParagraph"/>
        <w:numPr>
          <w:ilvl w:val="0"/>
          <w:numId w:val="2"/>
        </w:numPr>
        <w:spacing w:after="60"/>
      </w:pPr>
      <w:r>
        <w:t xml:space="preserve">Everything in Azure UAE North: Databricks serverless, Azure PostgreSQL Flexible Server (HA), Camunda on AKS, App Service for the API and workers, Static Web Apps for the frontend, Key Vault and Azure Monitor.</w:t>
      </w:r>
    </w:p>
    <w:p>
      <w:pPr>
        <w:pStyle w:val="ListParagraph"/>
        <w:numPr>
          <w:ilvl w:val="0"/>
          <w:numId w:val="2"/>
        </w:numPr>
        <w:spacing w:after="60"/>
      </w:pPr>
      <w:r>
        <w:t xml:space="preserve">Data residency: Neon has no Gulf region, hence Azure PostgreSQL. Databricks serverless is not listed for Qatar Central; Qatar residency would need classic job clusters.</w:t>
      </w:r>
    </w:p>
    <w:p>
      <w:pPr>
        <w:pStyle w:val="Heading1"/>
      </w:pPr>
      <w:r>
        <w:t xml:space="preserve">5. Security</w:t>
      </w:r>
    </w:p>
    <w:p>
      <w:pPr>
        <w:pStyle w:val="Heading2"/>
      </w:pPr>
      <w:r>
        <w:t xml:space="preserve">In place</w:t>
      </w:r>
    </w:p>
    <w:p>
      <w:pPr>
        <w:pStyle w:val="ListParagraph"/>
        <w:numPr>
          <w:ilvl w:val="0"/>
          <w:numId w:val="2"/>
        </w:numPr>
        <w:spacing w:after="60"/>
      </w:pPr>
      <w:r>
        <w:t xml:space="preserve">Passwords hashed with PBKDF2-SHA256 (200,000 iterations, salted, constant-time comparison).</w:t>
      </w:r>
    </w:p>
    <w:p>
      <w:pPr>
        <w:pStyle w:val="ListParagraph"/>
        <w:numPr>
          <w:ilvl w:val="0"/>
          <w:numId w:val="2"/>
        </w:numPr>
        <w:spacing w:after="60"/>
      </w:pPr>
      <w:r>
        <w:t xml:space="preserve">Signed session tokens (8 hours); seven roles with server-side checks; the auditor role is read-only.</w:t>
      </w:r>
    </w:p>
    <w:p>
      <w:pPr>
        <w:pStyle w:val="ListParagraph"/>
        <w:numPr>
          <w:ilvl w:val="0"/>
          <w:numId w:val="2"/>
        </w:numPr>
        <w:spacing w:after="60"/>
      </w:pPr>
      <w:r>
        <w:t xml:space="preserve">Insert-only audit log, protected by database triggers against update, delete and truncate.</w:t>
      </w:r>
    </w:p>
    <w:p>
      <w:pPr>
        <w:pStyle w:val="ListParagraph"/>
        <w:numPr>
          <w:ilvl w:val="0"/>
          <w:numId w:val="2"/>
        </w:numPr>
        <w:spacing w:after="60"/>
      </w:pPr>
      <w:r>
        <w:t xml:space="preserve">Credentials held in Databricks secret scopes, never in the application database.</w:t>
      </w:r>
    </w:p>
    <w:p>
      <w:pPr>
        <w:pStyle w:val="ListParagraph"/>
        <w:numPr>
          <w:ilvl w:val="0"/>
          <w:numId w:val="2"/>
        </w:numPr>
        <w:spacing w:after="60"/>
      </w:pPr>
      <w:r>
        <w:t xml:space="preserve">The AI assistant runs on the bank's own hardware — no data is sent to an outside AI service.</w:t>
      </w:r>
    </w:p>
    <w:p>
      <w:pPr>
        <w:pStyle w:val="Heading2"/>
      </w:pPr>
      <w:r>
        <w:t xml:space="preserve">Gaps to close before production</w:t>
      </w:r>
    </w:p>
    <w:p>
      <w:pPr>
        <w:pStyle w:val="ListParagraph"/>
        <w:numPr>
          <w:ilvl w:val="0"/>
          <w:numId w:val="2"/>
        </w:numPr>
        <w:spacing w:after="60"/>
      </w:pPr>
      <w:r>
        <w:t xml:space="preserve">No single sign-on or multi-factor authentication; no logout or token revocation.</w:t>
      </w:r>
    </w:p>
    <w:p>
      <w:pPr>
        <w:pStyle w:val="ListParagraph"/>
        <w:numPr>
          <w:ilvl w:val="0"/>
          <w:numId w:val="2"/>
        </w:numPr>
        <w:spacing w:after="60"/>
      </w:pPr>
      <w:r>
        <w:t xml:space="preserve">No rate limit on the login endpoint.</w:t>
      </w:r>
    </w:p>
    <w:p>
      <w:pPr>
        <w:pStyle w:val="ListParagraph"/>
        <w:numPr>
          <w:ilvl w:val="0"/>
          <w:numId w:val="2"/>
        </w:numPr>
        <w:spacing w:after="60"/>
      </w:pPr>
      <w:r>
        <w:t xml:space="preserve">Access rules are enforced in the application only (no database row-level security).</w:t>
      </w:r>
    </w:p>
    <w:p>
      <w:pPr>
        <w:pStyle w:val="ListParagraph"/>
        <w:numPr>
          <w:ilvl w:val="0"/>
          <w:numId w:val="2"/>
        </w:numPr>
        <w:spacing w:after="60"/>
      </w:pPr>
      <w:r>
        <w:t xml:space="preserve">Camunda runs with authentication off, Elasticsearch security off and a default demo login.</w:t>
      </w:r>
    </w:p>
    <w:p>
      <w:pPr>
        <w:pStyle w:val="ListParagraph"/>
        <w:numPr>
          <w:ilvl w:val="0"/>
          <w:numId w:val="2"/>
        </w:numPr>
        <w:spacing w:after="60"/>
      </w:pPr>
      <w:r>
        <w:t xml:space="preserve">The audit log's IP address field is never filled in.</w:t>
      </w:r>
    </w:p>
    <w:p>
      <w:pPr>
        <w:pStyle w:val="Heading1"/>
      </w:pPr>
      <w:r>
        <w:t xml:space="preserve">6. Data encryption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3313"/>
        <w:gridCol w:w="3313"/>
      </w:tblGrid>
      <w:tr>
        <w:trPr>
          <w:tblHeader/>
        </w:trPr>
        <w:tc>
          <w:tcPr>
            <w:tcW w:type="dxa" w:w="2400"/>
            <w:shd w:fill="1F4E79" w:color="auto" w:val="clear"/>
            <w:tcMar>
              <w:top w:type="dxa" w:w="60"/>
              <w:left w:type="dxa" w:w="100"/>
              <w:bottom w:type="dxa" w:w="60"/>
              <w:right w:type="dxa" w:w="100"/>
            </w:tcMar>
          </w:tcPr>
          <w:p>
            <w:r>
              <w:rPr>
                <w:b/>
                <w:bCs/>
                <w:color w:val="FFFFFF"/>
                <w:sz w:val="19"/>
                <w:szCs w:val="19"/>
              </w:rPr>
              <w:t xml:space="preserve">Path</w:t>
            </w:r>
          </w:p>
        </w:tc>
        <w:tc>
          <w:tcPr>
            <w:tcW w:type="dxa" w:w="3313"/>
            <w:shd w:fill="1F4E79" w:color="auto" w:val="clear"/>
            <w:tcMar>
              <w:top w:type="dxa" w:w="60"/>
              <w:left w:type="dxa" w:w="100"/>
              <w:bottom w:type="dxa" w:w="60"/>
              <w:right w:type="dxa" w:w="100"/>
            </w:tcMar>
          </w:tcPr>
          <w:p>
            <w:r>
              <w:rPr>
                <w:b/>
                <w:bCs/>
                <w:color w:val="FFFFFF"/>
                <w:sz w:val="19"/>
                <w:szCs w:val="19"/>
              </w:rPr>
              <w:t xml:space="preserve">Today</w:t>
            </w:r>
          </w:p>
        </w:tc>
        <w:tc>
          <w:tcPr>
            <w:tcW w:type="dxa" w:w="3313"/>
            <w:shd w:fill="1F4E79" w:color="auto" w:val="clear"/>
            <w:tcMar>
              <w:top w:type="dxa" w:w="60"/>
              <w:left w:type="dxa" w:w="100"/>
              <w:bottom w:type="dxa" w:w="60"/>
              <w:right w:type="dxa" w:w="100"/>
            </w:tcMar>
          </w:tcPr>
          <w:p>
            <w:r>
              <w:rPr>
                <w:b/>
                <w:bCs/>
                <w:color w:val="FFFFFF"/>
                <w:sz w:val="19"/>
                <w:szCs w:val="19"/>
              </w:rPr>
              <w:t xml:space="preserve">Production</w:t>
            </w:r>
          </w:p>
        </w:tc>
      </w:tr>
      <w:tr>
        <w:tc>
          <w:tcPr>
            <w:tcW w:type="dxa" w:w="2400"/>
            <w:tcMar>
              <w:top w:type="dxa" w:w="60"/>
              <w:left w:type="dxa" w:w="100"/>
              <w:bottom w:type="dxa" w:w="60"/>
              <w:right w:type="dxa" w:w="100"/>
            </w:tcMar>
          </w:tcPr>
          <w:p>
            <w:r>
              <w:t xml:space="preserve">Application / pipeline → database</w:t>
            </w:r>
          </w:p>
        </w:tc>
        <w:tc>
          <w:tcPr>
            <w:tcW w:type="dxa" w:w="3313"/>
            <w:tcMar>
              <w:top w:type="dxa" w:w="60"/>
              <w:left w:type="dxa" w:w="100"/>
              <w:bottom w:type="dxa" w:w="60"/>
              <w:right w:type="dxa" w:w="100"/>
            </w:tcMar>
          </w:tcPr>
          <w:p>
            <w:r>
              <w:t xml:space="preserve">Encrypted (TLS required)</w:t>
            </w:r>
          </w:p>
        </w:tc>
        <w:tc>
          <w:tcPr>
            <w:tcW w:type="dxa" w:w="3313"/>
            <w:tcMar>
              <w:top w:type="dxa" w:w="60"/>
              <w:left w:type="dxa" w:w="100"/>
              <w:bottom w:type="dxa" w:w="60"/>
              <w:right w:type="dxa" w:w="100"/>
            </w:tcMar>
          </w:tcPr>
          <w:p>
            <w:r>
              <w:t xml:space="preserve">TLS, private network endpoints</w:t>
            </w:r>
          </w:p>
        </w:tc>
      </w:tr>
      <w:tr>
        <w:tc>
          <w:tcPr>
            <w:tcW w:type="dxa" w:w="2400"/>
            <w:shd w:fill="F2F6FA" w:color="auto" w:val="clear"/>
            <w:tcMar>
              <w:top w:type="dxa" w:w="60"/>
              <w:left w:type="dxa" w:w="100"/>
              <w:bottom w:type="dxa" w:w="60"/>
              <w:right w:type="dxa" w:w="100"/>
            </w:tcMar>
          </w:tcPr>
          <w:p>
            <w:r>
              <w:t xml:space="preserve">External sources (Salesforce, IMF, FX API)</w:t>
            </w:r>
          </w:p>
        </w:tc>
        <w:tc>
          <w:tcPr>
            <w:tcW w:type="dxa" w:w="3313"/>
            <w:shd w:fill="F2F6FA" w:color="auto" w:val="clear"/>
            <w:tcMar>
              <w:top w:type="dxa" w:w="60"/>
              <w:left w:type="dxa" w:w="100"/>
              <w:bottom w:type="dxa" w:w="60"/>
              <w:right w:type="dxa" w:w="100"/>
            </w:tcMar>
          </w:tcPr>
          <w:p>
            <w:r>
              <w:t xml:space="preserve">Encrypted (HTTPS)</w:t>
            </w:r>
          </w:p>
        </w:tc>
        <w:tc>
          <w:tcPr>
            <w:tcW w:type="dxa" w:w="3313"/>
            <w:shd w:fill="F2F6FA" w:color="auto" w:val="clear"/>
            <w:tcMar>
              <w:top w:type="dxa" w:w="60"/>
              <w:left w:type="dxa" w:w="100"/>
              <w:bottom w:type="dxa" w:w="60"/>
              <w:right w:type="dxa" w:w="100"/>
            </w:tcMar>
          </w:tcPr>
          <w:p>
            <w:r>
              <w:t xml:space="preserve">Unchanged</w:t>
            </w:r>
          </w:p>
        </w:tc>
      </w:tr>
      <w:tr>
        <w:tc>
          <w:tcPr>
            <w:tcW w:type="dxa" w:w="2400"/>
            <w:tcMar>
              <w:top w:type="dxa" w:w="60"/>
              <w:left w:type="dxa" w:w="100"/>
              <w:bottom w:type="dxa" w:w="60"/>
              <w:right w:type="dxa" w:w="100"/>
            </w:tcMar>
          </w:tcPr>
          <w:p>
            <w:r>
              <w:t xml:space="preserve">Browser → API</w:t>
            </w:r>
          </w:p>
        </w:tc>
        <w:tc>
          <w:tcPr>
            <w:tcW w:type="dxa" w:w="3313"/>
            <w:tcMar>
              <w:top w:type="dxa" w:w="60"/>
              <w:left w:type="dxa" w:w="100"/>
              <w:bottom w:type="dxa" w:w="60"/>
              <w:right w:type="dxa" w:w="100"/>
            </w:tcMar>
          </w:tcPr>
          <w:p>
            <w:r>
              <w:t xml:space="preserve">Plain HTTP on the local demo</w:t>
            </w:r>
          </w:p>
        </w:tc>
        <w:tc>
          <w:tcPr>
            <w:tcW w:type="dxa" w:w="3313"/>
            <w:tcMar>
              <w:top w:type="dxa" w:w="60"/>
              <w:left w:type="dxa" w:w="100"/>
              <w:bottom w:type="dxa" w:w="60"/>
              <w:right w:type="dxa" w:w="100"/>
            </w:tcMar>
          </w:tcPr>
          <w:p>
            <w:r>
              <w:t xml:space="preserve">HTTPS only</w:t>
            </w:r>
          </w:p>
        </w:tc>
      </w:tr>
      <w:tr>
        <w:tc>
          <w:tcPr>
            <w:tcW w:type="dxa" w:w="2400"/>
            <w:shd w:fill="F2F6FA" w:color="auto" w:val="clear"/>
            <w:tcMar>
              <w:top w:type="dxa" w:w="60"/>
              <w:left w:type="dxa" w:w="100"/>
              <w:bottom w:type="dxa" w:w="60"/>
              <w:right w:type="dxa" w:w="100"/>
            </w:tcMar>
          </w:tcPr>
          <w:p>
            <w:r>
              <w:t xml:space="preserve">Inside the Camunda stack</w:t>
            </w:r>
          </w:p>
        </w:tc>
        <w:tc>
          <w:tcPr>
            <w:tcW w:type="dxa" w:w="3313"/>
            <w:shd w:fill="F2F6FA" w:color="auto" w:val="clear"/>
            <w:tcMar>
              <w:top w:type="dxa" w:w="60"/>
              <w:left w:type="dxa" w:w="100"/>
              <w:bottom w:type="dxa" w:w="60"/>
              <w:right w:type="dxa" w:w="100"/>
            </w:tcMar>
          </w:tcPr>
          <w:p>
            <w:r>
              <w:t xml:space="preserve">Unencrypted</w:t>
            </w:r>
          </w:p>
        </w:tc>
        <w:tc>
          <w:tcPr>
            <w:tcW w:type="dxa" w:w="3313"/>
            <w:shd w:fill="F2F6FA" w:color="auto" w:val="clear"/>
            <w:tcMar>
              <w:top w:type="dxa" w:w="60"/>
              <w:left w:type="dxa" w:w="100"/>
              <w:bottom w:type="dxa" w:w="60"/>
              <w:right w:type="dxa" w:w="100"/>
            </w:tcMar>
          </w:tcPr>
          <w:p>
            <w:r>
              <w:t xml:space="preserve">TLS / mutual TLS</w:t>
            </w:r>
          </w:p>
        </w:tc>
      </w:tr>
      <w:tr>
        <w:tc>
          <w:tcPr>
            <w:tcW w:type="dxa" w:w="2400"/>
            <w:tcMar>
              <w:top w:type="dxa" w:w="60"/>
              <w:left w:type="dxa" w:w="100"/>
              <w:bottom w:type="dxa" w:w="60"/>
              <w:right w:type="dxa" w:w="100"/>
            </w:tcMar>
          </w:tcPr>
          <w:p>
            <w:r>
              <w:t xml:space="preserve">Data at rest (Neon, Databricks)</w:t>
            </w:r>
          </w:p>
        </w:tc>
        <w:tc>
          <w:tcPr>
            <w:tcW w:type="dxa" w:w="3313"/>
            <w:tcMar>
              <w:top w:type="dxa" w:w="60"/>
              <w:left w:type="dxa" w:w="100"/>
              <w:bottom w:type="dxa" w:w="60"/>
              <w:right w:type="dxa" w:w="100"/>
            </w:tcMar>
          </w:tcPr>
          <w:p>
            <w:r>
              <w:t xml:space="preserve">Encrypted with provider-managed keys</w:t>
            </w:r>
          </w:p>
        </w:tc>
        <w:tc>
          <w:tcPr>
            <w:tcW w:type="dxa" w:w="3313"/>
            <w:tcMar>
              <w:top w:type="dxa" w:w="60"/>
              <w:left w:type="dxa" w:w="100"/>
              <w:bottom w:type="dxa" w:w="60"/>
              <w:right w:type="dxa" w:w="100"/>
            </w:tcMar>
          </w:tcPr>
          <w:p>
            <w:r>
              <w:t xml:space="preserve">Bank-controlled keys in Azure Key Vault</w:t>
            </w:r>
          </w:p>
        </w:tc>
      </w:tr>
      <w:tr>
        <w:tc>
          <w:tcPr>
            <w:tcW w:type="dxa" w:w="2400"/>
            <w:shd w:fill="F2F6FA" w:color="auto" w:val="clear"/>
            <w:tcMar>
              <w:top w:type="dxa" w:w="60"/>
              <w:left w:type="dxa" w:w="100"/>
              <w:bottom w:type="dxa" w:w="60"/>
              <w:right w:type="dxa" w:w="100"/>
            </w:tcMar>
          </w:tcPr>
          <w:p>
            <w:r>
              <w:t xml:space="preserve">Customer personal data in tables</w:t>
            </w:r>
          </w:p>
        </w:tc>
        <w:tc>
          <w:tcPr>
            <w:tcW w:type="dxa" w:w="3313"/>
            <w:shd w:fill="F2F6FA" w:color="auto" w:val="clear"/>
            <w:tcMar>
              <w:top w:type="dxa" w:w="60"/>
              <w:left w:type="dxa" w:w="100"/>
              <w:bottom w:type="dxa" w:w="60"/>
              <w:right w:type="dxa" w:w="100"/>
            </w:tcMar>
          </w:tcPr>
          <w:p>
            <w:r>
              <w:t xml:space="preserve">No masking or column encryption</w:t>
            </w:r>
          </w:p>
        </w:tc>
        <w:tc>
          <w:tcPr>
            <w:tcW w:type="dxa" w:w="3313"/>
            <w:shd w:fill="F2F6FA" w:color="auto" w:val="clear"/>
            <w:tcMar>
              <w:top w:type="dxa" w:w="60"/>
              <w:left w:type="dxa" w:w="100"/>
              <w:bottom w:type="dxa" w:w="60"/>
              <w:right w:type="dxa" w:w="100"/>
            </w:tcMar>
          </w:tcPr>
          <w:p>
            <w:r>
              <w:t xml:space="preserve">Masking / tokenisation of personal data</w:t>
            </w:r>
          </w:p>
        </w:tc>
      </w:tr>
    </w:tbl>
    <w:p>
      <w:pPr>
        <w:spacing w:after="160" w:before="60"/>
      </w:pPr>
      <w:r>
        <w:rPr>
          <w:i/>
          <w:iCs/>
          <w:color w:val="595959"/>
          <w:sz w:val="18"/>
          <w:szCs w:val="18"/>
        </w:rPr>
        <w:t xml:space="preserve">Laptop disk encryption (BitLocker) for local Elasticsearch data and logs has not been confirmed.</w:t>
      </w:r>
    </w:p>
    <w:p>
      <w:pPr>
        <w:pStyle w:val="Heading1"/>
      </w:pPr>
      <w:r>
        <w:t xml:space="preserve">7. Scalability</w:t>
      </w:r>
    </w:p>
    <w:p>
      <w:pPr>
        <w:pStyle w:val="Heading2"/>
      </w:pPr>
      <w:r>
        <w:t xml:space="preserve">Designed to scale</w:t>
      </w:r>
    </w:p>
    <w:p>
      <w:pPr>
        <w:pStyle w:val="ListParagraph"/>
        <w:numPr>
          <w:ilvl w:val="0"/>
          <w:numId w:val="2"/>
        </w:numPr>
        <w:spacing w:after="60"/>
      </w:pPr>
      <w:r>
        <w:t xml:space="preserve">Layered pipeline: raw → cleaned → reporting tables.</w:t>
      </w:r>
    </w:p>
    <w:p>
      <w:pPr>
        <w:pStyle w:val="ListParagraph"/>
        <w:numPr>
          <w:ilvl w:val="0"/>
          <w:numId w:val="2"/>
        </w:numPr>
        <w:spacing w:after="60"/>
      </w:pPr>
      <w:r>
        <w:t xml:space="preserve">Screens read precomputed summaries; Scenario Modelling recomputes in the browser.</w:t>
      </w:r>
    </w:p>
    <w:p>
      <w:pPr>
        <w:pStyle w:val="ListParagraph"/>
        <w:numPr>
          <w:ilvl w:val="0"/>
          <w:numId w:val="2"/>
        </w:numPr>
        <w:spacing w:after="60"/>
      </w:pPr>
      <w:r>
        <w:t xml:space="preserve">Databricks serverless adds compute automatically; loads are all-or-nothing and safe to re-run.</w:t>
      </w:r>
    </w:p>
    <w:p>
      <w:pPr>
        <w:pStyle w:val="Heading2"/>
      </w:pPr>
      <w:r>
        <w:t xml:space="preserve">Limits in the current code</w:t>
      </w:r>
    </w:p>
    <w:p>
      <w:pPr>
        <w:pStyle w:val="ListParagraph"/>
        <w:numPr>
          <w:ilvl w:val="0"/>
          <w:numId w:val="2"/>
        </w:numPr>
        <w:spacing w:after="60"/>
      </w:pPr>
      <w:r>
        <w:t xml:space="preserve">Every run is a </w:t>
      </w:r>
      <w:r>
        <w:rPr>
          <w:b/>
          <w:bCs/>
        </w:rPr>
        <w:t xml:space="preserve">full snapshot</w:t>
      </w:r>
      <w:r>
        <w:t xml:space="preserve">: all files are re-read and all transactions deleted and re-inserted in the database.</w:t>
      </w:r>
    </w:p>
    <w:p>
      <w:pPr>
        <w:pStyle w:val="ListParagraph"/>
        <w:numPr>
          <w:ilvl w:val="0"/>
          <w:numId w:val="2"/>
        </w:numPr>
        <w:spacing w:after="60"/>
      </w:pPr>
      <w:r>
        <w:t xml:space="preserve">Uploads are capped at 100 MB per file (~1.9 million transactions).</w:t>
      </w:r>
    </w:p>
    <w:p>
      <w:pPr>
        <w:pStyle w:val="ListParagraph"/>
        <w:numPr>
          <w:ilvl w:val="0"/>
          <w:numId w:val="2"/>
        </w:numPr>
        <w:spacing w:after="60"/>
      </w:pPr>
      <w:r>
        <w:t xml:space="preserve">Each data-quality exception becomes its own workflow task, with no grouping or cap.</w:t>
      </w:r>
    </w:p>
    <w:p>
      <w:pPr>
        <w:pStyle w:val="ListParagraph"/>
        <w:numPr>
          <w:ilvl w:val="0"/>
          <w:numId w:val="2"/>
        </w:numPr>
        <w:spacing w:after="60"/>
      </w:pPr>
      <w:r>
        <w:t xml:space="preserve">The Tasks page downloads every open task on each load and after every action.</w:t>
      </w:r>
    </w:p>
    <w:p>
      <w:pPr>
        <w:pStyle w:val="ListParagraph"/>
        <w:numPr>
          <w:ilvl w:val="0"/>
          <w:numId w:val="2"/>
        </w:numPr>
        <w:spacing w:after="60"/>
      </w:pPr>
      <w:r>
        <w:t xml:space="preserve">Two endpoints still compute live from the full transactions table.</w:t>
      </w:r>
    </w:p>
    <w:p>
      <w:pPr>
        <w:pStyle w:val="Heading1"/>
      </w:pPr>
      <w:r>
        <w:t xml:space="preserve">8. Performance as the data scales</w:t>
      </w:r>
    </w:p>
    <w:p>
      <w:pPr>
        <w:pStyle w:val="Heading2"/>
      </w:pPr>
      <w:r>
        <w:t xml:space="preserve">8.1 Pipeline run time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2400"/>
        <w:gridCol w:w="4826"/>
      </w:tblGrid>
      <w:tr>
        <w:trPr>
          <w:tblHeader/>
        </w:trPr>
        <w:tc>
          <w:tcPr>
            <w:tcW w:type="dxa" w:w="1800"/>
            <w:shd w:fill="1F4E79" w:color="auto" w:val="clear"/>
            <w:tcMar>
              <w:top w:type="dxa" w:w="60"/>
              <w:left w:type="dxa" w:w="100"/>
              <w:bottom w:type="dxa" w:w="60"/>
              <w:right w:type="dxa" w:w="100"/>
            </w:tcMar>
          </w:tcPr>
          <w:p>
            <w:r>
              <w:rPr>
                <w:b/>
                <w:bCs/>
                <w:color w:val="FFFFFF"/>
                <w:sz w:val="19"/>
                <w:szCs w:val="19"/>
              </w:rPr>
              <w:t xml:space="preserve">Transactions per run</w:t>
            </w:r>
          </w:p>
        </w:tc>
        <w:tc>
          <w:tcPr>
            <w:tcW w:type="dxa" w:w="2400"/>
            <w:shd w:fill="1F4E79" w:color="auto" w:val="clear"/>
            <w:tcMar>
              <w:top w:type="dxa" w:w="60"/>
              <w:left w:type="dxa" w:w="100"/>
              <w:bottom w:type="dxa" w:w="60"/>
              <w:right w:type="dxa" w:w="100"/>
            </w:tcMar>
          </w:tcPr>
          <w:p>
            <w:r>
              <w:rPr>
                <w:b/>
                <w:bCs/>
                <w:color w:val="FFFFFF"/>
                <w:sz w:val="19"/>
                <w:szCs w:val="19"/>
              </w:rPr>
              <w:t xml:space="preserve">Estimated pipeline time</w:t>
            </w:r>
          </w:p>
        </w:tc>
        <w:tc>
          <w:tcPr>
            <w:tcW w:type="dxa" w:w="4826"/>
            <w:shd w:fill="1F4E79" w:color="auto" w:val="clear"/>
            <w:tcMar>
              <w:top w:type="dxa" w:w="60"/>
              <w:left w:type="dxa" w:w="100"/>
              <w:bottom w:type="dxa" w:w="60"/>
              <w:right w:type="dxa" w:w="100"/>
            </w:tcMar>
          </w:tcPr>
          <w:p>
            <w:r>
              <w:rPr>
                <w:b/>
                <w:bCs/>
                <w:color w:val="FFFFFF"/>
                <w:sz w:val="19"/>
                <w:szCs w:val="19"/>
              </w:rPr>
              <w:t xml:space="preserve">What starts to matter</w:t>
            </w:r>
          </w:p>
        </w:tc>
      </w:tr>
      <w:tr>
        <w:tc>
          <w:tcPr>
            <w:tcW w:type="dxa" w:w="1800"/>
            <w:tcMar>
              <w:top w:type="dxa" w:w="60"/>
              <w:left w:type="dxa" w:w="100"/>
              <w:bottom w:type="dxa" w:w="60"/>
              <w:right w:type="dxa" w:w="100"/>
            </w:tcMar>
          </w:tcPr>
          <w:p>
            <w:r>
              <w:t xml:space="preserve">10,000</w:t>
            </w:r>
          </w:p>
        </w:tc>
        <w:tc>
          <w:tcPr>
            <w:tcW w:type="dxa" w:w="2400"/>
            <w:tcMar>
              <w:top w:type="dxa" w:w="60"/>
              <w:left w:type="dxa" w:w="100"/>
              <w:bottom w:type="dxa" w:w="60"/>
              <w:right w:type="dxa" w:w="100"/>
            </w:tcMar>
          </w:tcPr>
          <w:p>
            <w:r>
              <w:t xml:space="preserve">~6–8 min</w:t>
            </w:r>
          </w:p>
        </w:tc>
        <w:tc>
          <w:tcPr>
            <w:tcW w:type="dxa" w:w="4826"/>
            <w:tcMar>
              <w:top w:type="dxa" w:w="60"/>
              <w:left w:type="dxa" w:w="100"/>
              <w:bottom w:type="dxa" w:w="60"/>
              <w:right w:type="dxa" w:w="100"/>
            </w:tcMar>
          </w:tcPr>
          <w:p>
            <w:r>
              <w:t xml:space="preserve">Nothing — fixed start-up and per-table overhead dominate</w:t>
            </w:r>
          </w:p>
        </w:tc>
      </w:tr>
      <w:tr>
        <w:tc>
          <w:tcPr>
            <w:tcW w:type="dxa" w:w="1800"/>
            <w:shd w:fill="F2F6FA" w:color="auto" w:val="clear"/>
            <w:tcMar>
              <w:top w:type="dxa" w:w="60"/>
              <w:left w:type="dxa" w:w="100"/>
              <w:bottom w:type="dxa" w:w="60"/>
              <w:right w:type="dxa" w:w="100"/>
            </w:tcMar>
          </w:tcPr>
          <w:p>
            <w:r>
              <w:t xml:space="preserve">100,000</w:t>
            </w:r>
          </w:p>
        </w:tc>
        <w:tc>
          <w:tcPr>
            <w:tcW w:type="dxa" w:w="2400"/>
            <w:shd w:fill="F2F6FA" w:color="auto" w:val="clear"/>
            <w:tcMar>
              <w:top w:type="dxa" w:w="60"/>
              <w:left w:type="dxa" w:w="100"/>
              <w:bottom w:type="dxa" w:w="60"/>
              <w:right w:type="dxa" w:w="100"/>
            </w:tcMar>
          </w:tcPr>
          <w:p>
            <w:r>
              <w:t xml:space="preserve">~7–10 min</w:t>
            </w:r>
          </w:p>
        </w:tc>
        <w:tc>
          <w:tcPr>
            <w:tcW w:type="dxa" w:w="4826"/>
            <w:shd w:fill="F2F6FA" w:color="auto" w:val="clear"/>
            <w:tcMar>
              <w:top w:type="dxa" w:w="60"/>
              <w:left w:type="dxa" w:w="100"/>
              <w:bottom w:type="dxa" w:w="60"/>
              <w:right w:type="dxa" w:w="100"/>
            </w:tcMar>
          </w:tcPr>
          <w:p>
            <w:r>
              <w:t xml:space="preserve">Still mostly overhead</w:t>
            </w:r>
          </w:p>
        </w:tc>
      </w:tr>
      <w:tr>
        <w:tc>
          <w:tcPr>
            <w:tcW w:type="dxa" w:w="1800"/>
            <w:tcMar>
              <w:top w:type="dxa" w:w="60"/>
              <w:left w:type="dxa" w:w="100"/>
              <w:bottom w:type="dxa" w:w="60"/>
              <w:right w:type="dxa" w:w="100"/>
            </w:tcMar>
          </w:tcPr>
          <w:p>
            <w:r>
              <w:t xml:space="preserve">1,000,000 (~54 MB)</w:t>
            </w:r>
          </w:p>
        </w:tc>
        <w:tc>
          <w:tcPr>
            <w:tcW w:type="dxa" w:w="2400"/>
            <w:tcMar>
              <w:top w:type="dxa" w:w="60"/>
              <w:left w:type="dxa" w:w="100"/>
              <w:bottom w:type="dxa" w:w="60"/>
              <w:right w:type="dxa" w:w="100"/>
            </w:tcMar>
          </w:tcPr>
          <w:p>
            <w:r>
              <w:t xml:space="preserve">~15–30 min</w:t>
            </w:r>
          </w:p>
        </w:tc>
        <w:tc>
          <w:tcPr>
            <w:tcW w:type="dxa" w:w="4826"/>
            <w:tcMar>
              <w:top w:type="dxa" w:w="60"/>
              <w:left w:type="dxa" w:w="100"/>
              <w:bottom w:type="dxa" w:w="60"/>
              <w:right w:type="dxa" w:w="100"/>
            </w:tcMar>
          </w:tcPr>
          <w:p>
            <w:r>
              <w:t xml:space="preserve">Full reload into PostgreSQL (Azure → AWS) becomes the bottleneck</w:t>
            </w:r>
          </w:p>
        </w:tc>
      </w:tr>
      <w:tr>
        <w:tc>
          <w:tcPr>
            <w:tcW w:type="dxa" w:w="1800"/>
            <w:shd w:fill="F2F6FA" w:color="auto" w:val="clear"/>
            <w:tcMar>
              <w:top w:type="dxa" w:w="60"/>
              <w:left w:type="dxa" w:w="100"/>
              <w:bottom w:type="dxa" w:w="60"/>
              <w:right w:type="dxa" w:w="100"/>
            </w:tcMar>
          </w:tcPr>
          <w:p>
            <w:r>
              <w:t xml:space="preserve">2,000,000+</w:t>
            </w:r>
          </w:p>
        </w:tc>
        <w:tc>
          <w:tcPr>
            <w:tcW w:type="dxa" w:w="2400"/>
            <w:shd w:fill="F2F6FA" w:color="auto" w:val="clear"/>
            <w:tcMar>
              <w:top w:type="dxa" w:w="60"/>
              <w:left w:type="dxa" w:w="100"/>
              <w:bottom w:type="dxa" w:w="60"/>
              <w:right w:type="dxa" w:w="100"/>
            </w:tcMar>
          </w:tcPr>
          <w:p>
            <w:r>
              <w:t xml:space="preserve">Not possible via upload</w:t>
            </w:r>
          </w:p>
        </w:tc>
        <w:tc>
          <w:tcPr>
            <w:tcW w:type="dxa" w:w="4826"/>
            <w:shd w:fill="F2F6FA" w:color="auto" w:val="clear"/>
            <w:tcMar>
              <w:top w:type="dxa" w:w="60"/>
              <w:left w:type="dxa" w:w="100"/>
              <w:bottom w:type="dxa" w:w="60"/>
              <w:right w:type="dxa" w:w="100"/>
            </w:tcMar>
          </w:tcPr>
          <w:p>
            <w:r>
              <w:t xml:space="preserve">100 MB upload limit; Neon free tier (0.5 GB) fills up</w:t>
            </w:r>
          </w:p>
        </w:tc>
      </w:tr>
    </w:tbl>
    <w:p>
      <w:pPr>
        <w:spacing w:after="160" w:before="60"/>
      </w:pPr>
      <w:r>
        <w:rPr>
          <w:i/>
          <w:iCs/>
          <w:color w:val="595959"/>
          <w:sz w:val="18"/>
          <w:szCs w:val="18"/>
        </w:rPr>
        <w:t xml:space="preserve">Serverless start-up adds under a minute in performance-optimised mode, or 4–6 minutes in standard mode.</w:t>
      </w:r>
    </w:p>
    <w:p>
      <w:pPr>
        <w:pStyle w:val="Heading2"/>
      </w:pPr>
      <w:r>
        <w:t xml:space="preserve">8.2 Where the time goes for 10,000 transactions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600"/>
        <w:gridCol w:w="1800"/>
        <w:gridCol w:w="3626"/>
      </w:tblGrid>
      <w:tr>
        <w:trPr>
          <w:tblHeader/>
        </w:trPr>
        <w:tc>
          <w:tcPr>
            <w:tcW w:type="dxa" w:w="3600"/>
            <w:shd w:fill="1F4E79" w:color="auto" w:val="clear"/>
            <w:tcMar>
              <w:top w:type="dxa" w:w="60"/>
              <w:left w:type="dxa" w:w="100"/>
              <w:bottom w:type="dxa" w:w="60"/>
              <w:right w:type="dxa" w:w="100"/>
            </w:tcMar>
          </w:tcPr>
          <w:p>
            <w:r>
              <w:rPr>
                <w:b/>
                <w:bCs/>
                <w:color w:val="FFFFFF"/>
                <w:sz w:val="19"/>
                <w:szCs w:val="19"/>
              </w:rPr>
              <w:t xml:space="preserve">Stage</w:t>
            </w:r>
          </w:p>
        </w:tc>
        <w:tc>
          <w:tcPr>
            <w:tcW w:type="dxa" w:w="1800"/>
            <w:shd w:fill="1F4E79" w:color="auto" w:val="clear"/>
            <w:tcMar>
              <w:top w:type="dxa" w:w="60"/>
              <w:left w:type="dxa" w:w="100"/>
              <w:bottom w:type="dxa" w:w="60"/>
              <w:right w:type="dxa" w:w="100"/>
            </w:tcMar>
          </w:tcPr>
          <w:p>
            <w:r>
              <w:rPr>
                <w:b/>
                <w:bCs/>
                <w:color w:val="FFFFFF"/>
                <w:sz w:val="19"/>
                <w:szCs w:val="19"/>
              </w:rPr>
              <w:t xml:space="preserve">Estimate</w:t>
            </w:r>
          </w:p>
        </w:tc>
        <w:tc>
          <w:tcPr>
            <w:tcW w:type="dxa" w:w="3626"/>
            <w:shd w:fill="1F4E79" w:color="auto" w:val="clear"/>
            <w:tcMar>
              <w:top w:type="dxa" w:w="60"/>
              <w:left w:type="dxa" w:w="100"/>
              <w:bottom w:type="dxa" w:w="60"/>
              <w:right w:type="dxa" w:w="100"/>
            </w:tcMar>
          </w:tcPr>
          <w:p>
            <w:r>
              <w:rPr>
                <w:b/>
                <w:bCs/>
                <w:color w:val="FFFFFF"/>
                <w:sz w:val="19"/>
                <w:szCs w:val="19"/>
              </w:rPr>
              <w:t xml:space="preserve">Notes</w:t>
            </w:r>
          </w:p>
        </w:tc>
      </w:tr>
      <w:tr>
        <w:tc>
          <w:tcPr>
            <w:tcW w:type="dxa" w:w="3600"/>
            <w:tcMar>
              <w:top w:type="dxa" w:w="60"/>
              <w:left w:type="dxa" w:w="100"/>
              <w:bottom w:type="dxa" w:w="60"/>
              <w:right w:type="dxa" w:w="100"/>
            </w:tcMar>
          </w:tcPr>
          <w:p>
            <w:r>
              <w:t xml:space="preserve">Upload through the app</w:t>
            </w:r>
          </w:p>
        </w:tc>
        <w:tc>
          <w:tcPr>
            <w:tcW w:type="dxa" w:w="1800"/>
            <w:tcMar>
              <w:top w:type="dxa" w:w="60"/>
              <w:left w:type="dxa" w:w="100"/>
              <w:bottom w:type="dxa" w:w="60"/>
              <w:right w:type="dxa" w:w="100"/>
            </w:tcMar>
          </w:tcPr>
          <w:p>
            <w:r>
              <w:t xml:space="preserve">&lt; 5 s</w:t>
            </w:r>
          </w:p>
        </w:tc>
        <w:tc>
          <w:tcPr>
            <w:tcW w:type="dxa" w:w="3626"/>
            <w:tcMar>
              <w:top w:type="dxa" w:w="60"/>
              <w:left w:type="dxa" w:w="100"/>
              <w:bottom w:type="dxa" w:w="60"/>
              <w:right w:type="dxa" w:w="100"/>
            </w:tcMar>
          </w:tcPr>
          <w:p>
            <w:r>
              <w:t xml:space="preserve">~0.55 MB file</w:t>
            </w:r>
          </w:p>
        </w:tc>
      </w:tr>
      <w:tr>
        <w:tc>
          <w:tcPr>
            <w:tcW w:type="dxa" w:w="3600"/>
            <w:shd w:fill="F2F6FA" w:color="auto" w:val="clear"/>
            <w:tcMar>
              <w:top w:type="dxa" w:w="60"/>
              <w:left w:type="dxa" w:w="100"/>
              <w:bottom w:type="dxa" w:w="60"/>
              <w:right w:type="dxa" w:w="100"/>
            </w:tcMar>
          </w:tcPr>
          <w:p>
            <w:r>
              <w:t xml:space="preserve">Trigger wait</w:t>
            </w:r>
          </w:p>
        </w:tc>
        <w:tc>
          <w:tcPr>
            <w:tcW w:type="dxa" w:w="1800"/>
            <w:shd w:fill="F2F6FA" w:color="auto" w:val="clear"/>
            <w:tcMar>
              <w:top w:type="dxa" w:w="60"/>
              <w:left w:type="dxa" w:w="100"/>
              <w:bottom w:type="dxa" w:w="60"/>
              <w:right w:type="dxa" w:w="100"/>
            </w:tcMar>
          </w:tcPr>
          <w:p>
            <w:r>
              <w:t xml:space="preserve">0–2 min</w:t>
            </w:r>
          </w:p>
        </w:tc>
        <w:tc>
          <w:tcPr>
            <w:tcW w:type="dxa" w:w="3626"/>
            <w:shd w:fill="F2F6FA" w:color="auto" w:val="clear"/>
            <w:tcMar>
              <w:top w:type="dxa" w:w="60"/>
              <w:left w:type="dxa" w:w="100"/>
              <w:bottom w:type="dxa" w:w="60"/>
              <w:right w:type="dxa" w:w="100"/>
            </w:tcMar>
          </w:tcPr>
          <w:p>
            <w:r>
              <w:t xml:space="preserve">2-minute quiet period, or none with Refresh now</w:t>
            </w:r>
          </w:p>
        </w:tc>
      </w:tr>
      <w:tr>
        <w:tc>
          <w:tcPr>
            <w:tcW w:type="dxa" w:w="3600"/>
            <w:tcMar>
              <w:top w:type="dxa" w:w="60"/>
              <w:left w:type="dxa" w:w="100"/>
              <w:bottom w:type="dxa" w:w="60"/>
              <w:right w:type="dxa" w:w="100"/>
            </w:tcMar>
          </w:tcPr>
          <w:p>
            <w:r>
              <w:t xml:space="preserve">Serverless start-up</w:t>
            </w:r>
          </w:p>
        </w:tc>
        <w:tc>
          <w:tcPr>
            <w:tcW w:type="dxa" w:w="1800"/>
            <w:tcMar>
              <w:top w:type="dxa" w:w="60"/>
              <w:left w:type="dxa" w:w="100"/>
              <w:bottom w:type="dxa" w:w="60"/>
              <w:right w:type="dxa" w:w="100"/>
            </w:tcMar>
          </w:tcPr>
          <w:p>
            <w:r>
              <w:t xml:space="preserve">0.5–6 min</w:t>
            </w:r>
          </w:p>
        </w:tc>
        <w:tc>
          <w:tcPr>
            <w:tcW w:type="dxa" w:w="3626"/>
            <w:tcMar>
              <w:top w:type="dxa" w:w="60"/>
              <w:left w:type="dxa" w:w="100"/>
              <w:bottom w:type="dxa" w:w="60"/>
              <w:right w:type="dxa" w:w="100"/>
            </w:tcMar>
          </w:tcPr>
          <w:p>
            <w:r>
              <w:t xml:space="preserve">Depends on performance mode</w:t>
            </w:r>
          </w:p>
        </w:tc>
      </w:tr>
      <w:tr>
        <w:tc>
          <w:tcPr>
            <w:tcW w:type="dxa" w:w="3600"/>
            <w:shd w:fill="F2F6FA" w:color="auto" w:val="clear"/>
            <w:tcMar>
              <w:top w:type="dxa" w:w="60"/>
              <w:left w:type="dxa" w:w="100"/>
              <w:bottom w:type="dxa" w:w="60"/>
              <w:right w:type="dxa" w:w="100"/>
            </w:tcMar>
          </w:tcPr>
          <w:p>
            <w:r>
              <w:t xml:space="preserve">Notebook 1 — ingest and standardise</w:t>
            </w:r>
          </w:p>
        </w:tc>
        <w:tc>
          <w:tcPr>
            <w:tcW w:type="dxa" w:w="1800"/>
            <w:shd w:fill="F2F6FA" w:color="auto" w:val="clear"/>
            <w:tcMar>
              <w:top w:type="dxa" w:w="60"/>
              <w:left w:type="dxa" w:w="100"/>
              <w:bottom w:type="dxa" w:w="60"/>
              <w:right w:type="dxa" w:w="100"/>
            </w:tcMar>
          </w:tcPr>
          <w:p>
            <w:r>
              <w:t xml:space="preserve">0.5–1 min</w:t>
            </w:r>
          </w:p>
        </w:tc>
        <w:tc>
          <w:tcPr>
            <w:tcW w:type="dxa" w:w="3626"/>
            <w:shd w:fill="F2F6FA" w:color="auto" w:val="clear"/>
            <w:tcMar>
              <w:top w:type="dxa" w:w="60"/>
              <w:left w:type="dxa" w:w="100"/>
              <w:bottom w:type="dxa" w:w="60"/>
              <w:right w:type="dxa" w:w="100"/>
            </w:tcMar>
          </w:tcPr>
          <w:p>
            <w:r>
              <w:t xml:space="preserve">8 files, corrections overlay</w:t>
            </w:r>
          </w:p>
        </w:tc>
      </w:tr>
      <w:tr>
        <w:tc>
          <w:tcPr>
            <w:tcW w:type="dxa" w:w="3600"/>
            <w:tcMar>
              <w:top w:type="dxa" w:w="60"/>
              <w:left w:type="dxa" w:w="100"/>
              <w:bottom w:type="dxa" w:w="60"/>
              <w:right w:type="dxa" w:w="100"/>
            </w:tcMar>
          </w:tcPr>
          <w:p>
            <w:r>
              <w:t xml:space="preserve">Notebook 2 — quality checks</w:t>
            </w:r>
          </w:p>
        </w:tc>
        <w:tc>
          <w:tcPr>
            <w:tcW w:type="dxa" w:w="1800"/>
            <w:tcMar>
              <w:top w:type="dxa" w:w="60"/>
              <w:left w:type="dxa" w:w="100"/>
              <w:bottom w:type="dxa" w:w="60"/>
              <w:right w:type="dxa" w:w="100"/>
            </w:tcMar>
          </w:tcPr>
          <w:p>
            <w:r>
              <w:t xml:space="preserve">0.5–1.5 min</w:t>
            </w:r>
          </w:p>
        </w:tc>
        <w:tc>
          <w:tcPr>
            <w:tcW w:type="dxa" w:w="3626"/>
            <w:tcMar>
              <w:top w:type="dxa" w:w="60"/>
              <w:left w:type="dxa" w:w="100"/>
              <w:bottom w:type="dxa" w:w="60"/>
              <w:right w:type="dxa" w:w="100"/>
            </w:tcMar>
          </w:tcPr>
          <w:p>
            <w:r>
              <w:t xml:space="preserve">28 checks</w:t>
            </w:r>
          </w:p>
        </w:tc>
      </w:tr>
      <w:tr>
        <w:tc>
          <w:tcPr>
            <w:tcW w:type="dxa" w:w="3600"/>
            <w:shd w:fill="F2F6FA" w:color="auto" w:val="clear"/>
            <w:tcMar>
              <w:top w:type="dxa" w:w="60"/>
              <w:left w:type="dxa" w:w="100"/>
              <w:bottom w:type="dxa" w:w="60"/>
              <w:right w:type="dxa" w:w="100"/>
            </w:tcMar>
          </w:tcPr>
          <w:p>
            <w:r>
              <w:t xml:space="preserve">Notebooks 3–6 + reconciliation (parallel)</w:t>
            </w:r>
          </w:p>
        </w:tc>
        <w:tc>
          <w:tcPr>
            <w:tcW w:type="dxa" w:w="1800"/>
            <w:shd w:fill="F2F6FA" w:color="auto" w:val="clear"/>
            <w:tcMar>
              <w:top w:type="dxa" w:w="60"/>
              <w:left w:type="dxa" w:w="100"/>
              <w:bottom w:type="dxa" w:w="60"/>
              <w:right w:type="dxa" w:w="100"/>
            </w:tcMar>
          </w:tcPr>
          <w:p>
            <w:r>
              <w:t xml:space="preserve">1–2 min</w:t>
            </w:r>
          </w:p>
        </w:tc>
        <w:tc>
          <w:tcPr>
            <w:tcW w:type="dxa" w:w="3626"/>
            <w:shd w:fill="F2F6FA" w:color="auto" w:val="clear"/>
            <w:tcMar>
              <w:top w:type="dxa" w:w="60"/>
              <w:left w:type="dxa" w:w="100"/>
              <w:bottom w:type="dxa" w:w="60"/>
              <w:right w:type="dxa" w:w="100"/>
            </w:tcMar>
          </w:tcPr>
          <w:p>
            <w:r>
              <w:t xml:space="preserve">Live FX called once per currency</w:t>
            </w:r>
          </w:p>
        </w:tc>
      </w:tr>
      <w:tr>
        <w:tc>
          <w:tcPr>
            <w:tcW w:type="dxa" w:w="3600"/>
            <w:tcMar>
              <w:top w:type="dxa" w:w="60"/>
              <w:left w:type="dxa" w:w="100"/>
              <w:bottom w:type="dxa" w:w="60"/>
              <w:right w:type="dxa" w:w="100"/>
            </w:tcMar>
          </w:tcPr>
          <w:p>
            <w:r>
              <w:t xml:space="preserve">Load to PostgreSQL</w:t>
            </w:r>
          </w:p>
        </w:tc>
        <w:tc>
          <w:tcPr>
            <w:tcW w:type="dxa" w:w="1800"/>
            <w:tcMar>
              <w:top w:type="dxa" w:w="60"/>
              <w:left w:type="dxa" w:w="100"/>
              <w:bottom w:type="dxa" w:w="60"/>
              <w:right w:type="dxa" w:w="100"/>
            </w:tcMar>
          </w:tcPr>
          <w:p>
            <w:r>
              <w:t xml:space="preserve">1–2 min</w:t>
            </w:r>
          </w:p>
        </w:tc>
        <w:tc>
          <w:tcPr>
            <w:tcW w:type="dxa" w:w="3626"/>
            <w:tcMar>
              <w:top w:type="dxa" w:w="60"/>
              <w:left w:type="dxa" w:w="100"/>
              <w:bottom w:type="dxa" w:w="60"/>
              <w:right w:type="dxa" w:w="100"/>
            </w:tcMar>
          </w:tcPr>
          <w:p>
            <w:r>
              <w:t xml:space="preserve">+ up to 40 s if Neon is asleep</w:t>
            </w:r>
          </w:p>
        </w:tc>
      </w:tr>
      <w:tr>
        <w:tc>
          <w:tcPr>
            <w:tcW w:type="dxa" w:w="3600"/>
            <w:shd w:fill="F2F6FA" w:color="auto" w:val="clear"/>
            <w:tcMar>
              <w:top w:type="dxa" w:w="60"/>
              <w:left w:type="dxa" w:w="100"/>
              <w:bottom w:type="dxa" w:w="60"/>
              <w:right w:type="dxa" w:w="100"/>
            </w:tcMar>
          </w:tcPr>
          <w:p>
            <w:r>
              <w:t xml:space="preserve">Tasks created by the bridge</w:t>
            </w:r>
          </w:p>
        </w:tc>
        <w:tc>
          <w:tcPr>
            <w:tcW w:type="dxa" w:w="1800"/>
            <w:shd w:fill="F2F6FA" w:color="auto" w:val="clear"/>
            <w:tcMar>
              <w:top w:type="dxa" w:w="60"/>
              <w:left w:type="dxa" w:w="100"/>
              <w:bottom w:type="dxa" w:w="60"/>
              <w:right w:type="dxa" w:w="100"/>
            </w:tcMar>
          </w:tcPr>
          <w:p>
            <w:r>
              <w:t xml:space="preserve">0–5 min</w:t>
            </w:r>
          </w:p>
        </w:tc>
        <w:tc>
          <w:tcPr>
            <w:tcW w:type="dxa" w:w="3626"/>
            <w:shd w:fill="F2F6FA" w:color="auto" w:val="clear"/>
            <w:tcMar>
              <w:top w:type="dxa" w:w="60"/>
              <w:left w:type="dxa" w:w="100"/>
              <w:bottom w:type="dxa" w:w="60"/>
              <w:right w:type="dxa" w:w="100"/>
            </w:tcMar>
          </w:tcPr>
          <w:p>
            <w:r>
              <w:t xml:space="preserve">Bridge polls every 5 minutes</w:t>
            </w:r>
          </w:p>
        </w:tc>
      </w:tr>
    </w:tbl>
    <w:p>
      <w:pPr>
        <w:pStyle w:val="Heading2"/>
      </w:pPr>
      <w:r>
        <w:t xml:space="preserve">8.3 What happens to a large dataset, step by step</w:t>
      </w:r>
    </w:p>
    <w:p>
      <w:pPr>
        <w:pStyle w:val="ListParagraph"/>
        <w:numPr>
          <w:ilvl w:val="0"/>
          <w:numId w:val="2"/>
        </w:numPr>
        <w:spacing w:after="60"/>
      </w:pPr>
      <w:r>
        <w:rPr>
          <w:b/>
          <w:bCs/>
        </w:rPr>
        <w:t xml:space="preserve">Upload:</w:t>
      </w:r>
      <w:r>
        <w:t xml:space="preserve"> file checked (name, UTF-8, columns, ≤ 100 MB; for entity tables, warns if &gt; 20% of records would be dropped), then written to the landing folder, </w:t>
      </w:r>
      <w:r>
        <w:rPr>
          <w:b/>
          <w:bCs/>
        </w:rPr>
        <w:t xml:space="preserve">overwriting the previous file</w:t>
      </w:r>
      <w:r>
        <w:t xml:space="preserve"> — each upload must be the complete dataset.</w:t>
      </w:r>
    </w:p>
    <w:p>
      <w:pPr>
        <w:pStyle w:val="ListParagraph"/>
        <w:numPr>
          <w:ilvl w:val="0"/>
          <w:numId w:val="2"/>
        </w:numPr>
        <w:spacing w:after="60"/>
      </w:pPr>
      <w:r>
        <w:rPr>
          <w:b/>
          <w:bCs/>
        </w:rPr>
        <w:t xml:space="preserve">Notebook 1:</w:t>
      </w:r>
      <w:r>
        <w:t xml:space="preserve"> reads files in parallel chunks, standardises dates, numbers and currencies, applies approved corrections; bad values become null and are kept.</w:t>
      </w:r>
    </w:p>
    <w:p>
      <w:pPr>
        <w:pStyle w:val="ListParagraph"/>
        <w:numPr>
          <w:ilvl w:val="0"/>
          <w:numId w:val="2"/>
        </w:numPr>
        <w:spacing w:after="60"/>
      </w:pPr>
      <w:r>
        <w:rPr>
          <w:b/>
          <w:bCs/>
        </w:rPr>
        <w:t xml:space="preserve">Notebook 2:</w:t>
      </w:r>
      <w:r>
        <w:t xml:space="preserve"> runs checks in parallel; failed rows go to the exceptions table with the full original row. Weak spot: orphan IDs are gathered on one machine, so a delivery with hundreds of thousands of orphans slows this step.</w:t>
      </w:r>
    </w:p>
    <w:p>
      <w:pPr>
        <w:pStyle w:val="ListParagraph"/>
        <w:numPr>
          <w:ilvl w:val="0"/>
          <w:numId w:val="2"/>
        </w:numPr>
        <w:spacing w:after="60"/>
      </w:pPr>
      <w:r>
        <w:rPr>
          <w:b/>
          <w:bCs/>
        </w:rPr>
        <w:t xml:space="preserve">Notebooks 3–6:</w:t>
      </w:r>
      <w:r>
        <w:t xml:space="preserve"> produce small summary tables (a few hundred rows) regardless of input size; fraud rules grow with volume but Spark handles 1M easily.</w:t>
      </w:r>
    </w:p>
    <w:p>
      <w:pPr>
        <w:pStyle w:val="ListParagraph"/>
        <w:numPr>
          <w:ilvl w:val="0"/>
          <w:numId w:val="2"/>
        </w:numPr>
        <w:spacing w:after="60"/>
      </w:pPr>
      <w:r>
        <w:rPr>
          <w:b/>
          <w:bCs/>
        </w:rPr>
        <w:t xml:space="preserve">Load:</w:t>
      </w:r>
      <w:r>
        <w:t xml:space="preserve"> one all-or-nothing transaction deletes and re-inserts all core records. If anything fails, everything is rolled back and the screens keep the previous good data.</w:t>
      </w:r>
    </w:p>
    <w:p>
      <w:pPr>
        <w:pStyle w:val="ListParagraph"/>
        <w:numPr>
          <w:ilvl w:val="0"/>
          <w:numId w:val="2"/>
        </w:numPr>
        <w:spacing w:after="60"/>
      </w:pPr>
      <w:r>
        <w:rPr>
          <w:b/>
          <w:bCs/>
        </w:rPr>
        <w:t xml:space="preserve">Workflow:</w:t>
      </w:r>
      <w:r>
        <w:t xml:space="preserve"> the bridge starts one Camunda process per new exception, one at a time, every 5 minutes.</w:t>
      </w:r>
    </w:p>
    <w:p>
      <w:pPr>
        <w:pStyle w:val="Heading2"/>
      </w:pPr>
      <w:r>
        <w:t xml:space="preserve">8.4 Workflow tasks and Camunda under load</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3413"/>
        <w:gridCol w:w="3413"/>
      </w:tblGrid>
      <w:tr>
        <w:trPr>
          <w:tblHeader/>
        </w:trPr>
        <w:tc>
          <w:tcPr>
            <w:tcW w:type="dxa" w:w="2200"/>
            <w:shd w:fill="1F4E79" w:color="auto" w:val="clear"/>
            <w:tcMar>
              <w:top w:type="dxa" w:w="60"/>
              <w:left w:type="dxa" w:w="100"/>
              <w:bottom w:type="dxa" w:w="60"/>
              <w:right w:type="dxa" w:w="100"/>
            </w:tcMar>
          </w:tcPr>
          <w:p>
            <w:r>
              <w:rPr>
                <w:b/>
                <w:bCs/>
                <w:color w:val="FFFFFF"/>
                <w:sz w:val="19"/>
                <w:szCs w:val="19"/>
              </w:rPr>
              <w:t xml:space="preserve">New tasks</w:t>
            </w:r>
          </w:p>
        </w:tc>
        <w:tc>
          <w:tcPr>
            <w:tcW w:type="dxa" w:w="3413"/>
            <w:shd w:fill="1F4E79" w:color="auto" w:val="clear"/>
            <w:tcMar>
              <w:top w:type="dxa" w:w="60"/>
              <w:left w:type="dxa" w:w="100"/>
              <w:bottom w:type="dxa" w:w="60"/>
              <w:right w:type="dxa" w:w="100"/>
            </w:tcMar>
          </w:tcPr>
          <w:p>
            <w:r>
              <w:rPr>
                <w:b/>
                <w:bCs/>
                <w:color w:val="FFFFFF"/>
                <w:sz w:val="19"/>
                <w:szCs w:val="19"/>
              </w:rPr>
              <w:t xml:space="preserve">Time to create (bridge)</w:t>
            </w:r>
          </w:p>
        </w:tc>
        <w:tc>
          <w:tcPr>
            <w:tcW w:type="dxa" w:w="3413"/>
            <w:shd w:fill="1F4E79" w:color="auto" w:val="clear"/>
            <w:tcMar>
              <w:top w:type="dxa" w:w="60"/>
              <w:left w:type="dxa" w:w="100"/>
              <w:bottom w:type="dxa" w:w="60"/>
              <w:right w:type="dxa" w:w="100"/>
            </w:tcMar>
          </w:tcPr>
          <w:p>
            <w:r>
              <w:rPr>
                <w:b/>
                <w:bCs/>
                <w:color w:val="FFFFFF"/>
                <w:sz w:val="19"/>
                <w:szCs w:val="19"/>
              </w:rPr>
              <w:t xml:space="preserve">Tasks page load</w:t>
            </w:r>
          </w:p>
        </w:tc>
      </w:tr>
      <w:tr>
        <w:tc>
          <w:tcPr>
            <w:tcW w:type="dxa" w:w="2200"/>
            <w:tcMar>
              <w:top w:type="dxa" w:w="60"/>
              <w:left w:type="dxa" w:w="100"/>
              <w:bottom w:type="dxa" w:w="60"/>
              <w:right w:type="dxa" w:w="100"/>
            </w:tcMar>
          </w:tcPr>
          <w:p>
            <w:r>
              <w:t xml:space="preserve">~300</w:t>
            </w:r>
          </w:p>
        </w:tc>
        <w:tc>
          <w:tcPr>
            <w:tcW w:type="dxa" w:w="3413"/>
            <w:tcMar>
              <w:top w:type="dxa" w:w="60"/>
              <w:left w:type="dxa" w:w="100"/>
              <w:bottom w:type="dxa" w:w="60"/>
              <w:right w:type="dxa" w:w="100"/>
            </w:tcMar>
          </w:tcPr>
          <w:p>
            <w:r>
              <w:t xml:space="preserve">~15 s</w:t>
            </w:r>
          </w:p>
        </w:tc>
        <w:tc>
          <w:tcPr>
            <w:tcW w:type="dxa" w:w="3413"/>
            <w:tcMar>
              <w:top w:type="dxa" w:w="60"/>
              <w:left w:type="dxa" w:w="100"/>
              <w:bottom w:type="dxa" w:w="60"/>
              <w:right w:type="dxa" w:w="100"/>
            </w:tcMar>
          </w:tcPr>
          <w:p>
            <w:r>
              <w:t xml:space="preserve">~1 s</w:t>
            </w:r>
          </w:p>
        </w:tc>
      </w:tr>
      <w:tr>
        <w:tc>
          <w:tcPr>
            <w:tcW w:type="dxa" w:w="2200"/>
            <w:shd w:fill="F2F6FA" w:color="auto" w:val="clear"/>
            <w:tcMar>
              <w:top w:type="dxa" w:w="60"/>
              <w:left w:type="dxa" w:w="100"/>
              <w:bottom w:type="dxa" w:w="60"/>
              <w:right w:type="dxa" w:w="100"/>
            </w:tcMar>
          </w:tcPr>
          <w:p>
            <w:r>
              <w:t xml:space="preserve">1,000</w:t>
            </w:r>
          </w:p>
        </w:tc>
        <w:tc>
          <w:tcPr>
            <w:tcW w:type="dxa" w:w="3413"/>
            <w:shd w:fill="F2F6FA" w:color="auto" w:val="clear"/>
            <w:tcMar>
              <w:top w:type="dxa" w:w="60"/>
              <w:left w:type="dxa" w:w="100"/>
              <w:bottom w:type="dxa" w:w="60"/>
              <w:right w:type="dxa" w:w="100"/>
            </w:tcMar>
          </w:tcPr>
          <w:p>
            <w:r>
              <w:t xml:space="preserve">~1–3 min</w:t>
            </w:r>
          </w:p>
        </w:tc>
        <w:tc>
          <w:tcPr>
            <w:tcW w:type="dxa" w:w="3413"/>
            <w:shd w:fill="F2F6FA" w:color="auto" w:val="clear"/>
            <w:tcMar>
              <w:top w:type="dxa" w:w="60"/>
              <w:left w:type="dxa" w:w="100"/>
              <w:bottom w:type="dxa" w:w="60"/>
              <w:right w:type="dxa" w:w="100"/>
            </w:tcMar>
          </w:tcPr>
          <w:p>
            <w:r>
              <w:t xml:space="preserve">~2–5 s</w:t>
            </w:r>
          </w:p>
        </w:tc>
      </w:tr>
      <w:tr>
        <w:tc>
          <w:tcPr>
            <w:tcW w:type="dxa" w:w="2200"/>
            <w:tcMar>
              <w:top w:type="dxa" w:w="60"/>
              <w:left w:type="dxa" w:w="100"/>
              <w:bottom w:type="dxa" w:w="60"/>
              <w:right w:type="dxa" w:w="100"/>
            </w:tcMar>
          </w:tcPr>
          <w:p>
            <w:r>
              <w:t xml:space="preserve">10,000</w:t>
            </w:r>
          </w:p>
        </w:tc>
        <w:tc>
          <w:tcPr>
            <w:tcW w:type="dxa" w:w="3413"/>
            <w:tcMar>
              <w:top w:type="dxa" w:w="60"/>
              <w:left w:type="dxa" w:w="100"/>
              <w:bottom w:type="dxa" w:w="60"/>
              <w:right w:type="dxa" w:w="100"/>
            </w:tcMar>
          </w:tcPr>
          <w:p>
            <w:r>
              <w:t xml:space="preserve">~10–25 min + Camunda lag</w:t>
            </w:r>
          </w:p>
        </w:tc>
        <w:tc>
          <w:tcPr>
            <w:tcW w:type="dxa" w:w="3413"/>
            <w:tcMar>
              <w:top w:type="dxa" w:w="60"/>
              <w:left w:type="dxa" w:w="100"/>
              <w:bottom w:type="dxa" w:w="60"/>
              <w:right w:type="dxa" w:w="100"/>
            </w:tcMar>
          </w:tcPr>
          <w:p>
            <w:r>
              <w:t xml:space="preserve">~15–40 s; likely to fail</w:t>
            </w:r>
          </w:p>
        </w:tc>
      </w:tr>
      <w:tr>
        <w:tc>
          <w:tcPr>
            <w:tcW w:type="dxa" w:w="2200"/>
            <w:shd w:fill="F2F6FA" w:color="auto" w:val="clear"/>
            <w:tcMar>
              <w:top w:type="dxa" w:w="60"/>
              <w:left w:type="dxa" w:w="100"/>
              <w:bottom w:type="dxa" w:w="60"/>
              <w:right w:type="dxa" w:w="100"/>
            </w:tcMar>
          </w:tcPr>
          <w:p>
            <w:r>
              <w:t xml:space="preserve">20,000</w:t>
            </w:r>
          </w:p>
        </w:tc>
        <w:tc>
          <w:tcPr>
            <w:tcW w:type="dxa" w:w="3413"/>
            <w:shd w:fill="F2F6FA" w:color="auto" w:val="clear"/>
            <w:tcMar>
              <w:top w:type="dxa" w:w="60"/>
              <w:left w:type="dxa" w:w="100"/>
              <w:bottom w:type="dxa" w:w="60"/>
              <w:right w:type="dxa" w:w="100"/>
            </w:tcMar>
          </w:tcPr>
          <w:p>
            <w:r>
              <w:t xml:space="preserve">~20–50 min + Camunda lag</w:t>
            </w:r>
          </w:p>
        </w:tc>
        <w:tc>
          <w:tcPr>
            <w:tcW w:type="dxa" w:w="3413"/>
            <w:shd w:fill="F2F6FA" w:color="auto" w:val="clear"/>
            <w:tcMar>
              <w:top w:type="dxa" w:w="60"/>
              <w:left w:type="dxa" w:w="100"/>
              <w:bottom w:type="dxa" w:w="60"/>
              <w:right w:type="dxa" w:w="100"/>
            </w:tcMar>
          </w:tcPr>
          <w:p>
            <w:r>
              <w:t xml:space="preserve">~30–90 s; likely to fail</w:t>
            </w:r>
          </w:p>
        </w:tc>
      </w:tr>
    </w:tbl>
    <w:p>
      <w:pPr>
        <w:pStyle w:val="ListParagraph"/>
        <w:numPr>
          <w:ilvl w:val="0"/>
          <w:numId w:val="2"/>
        </w:numPr>
        <w:spacing w:after="60"/>
      </w:pPr>
      <w:r>
        <w:rPr>
          <w:b/>
          <w:bCs/>
        </w:rPr>
        <w:t xml:space="preserve">How many tasks to expect:</w:t>
      </w:r>
      <w:r>
        <w:t xml:space="preserve"> normal 10k delivery (1–2% bad rows) ≈ 100–300 tasks. A broken file can produce one task per row. Fraud flags, duplicates and reconciliation breaks are already grouped or capped; data-quality exceptions are not.</w:t>
      </w:r>
    </w:p>
    <w:p>
      <w:pPr>
        <w:pStyle w:val="ListParagraph"/>
        <w:numPr>
          <w:ilvl w:val="0"/>
          <w:numId w:val="2"/>
        </w:numPr>
        <w:spacing w:after="60"/>
      </w:pPr>
      <w:r>
        <w:rPr>
          <w:b/>
          <w:bCs/>
        </w:rPr>
        <w:t xml:space="preserve">Camunda impact:</w:t>
      </w:r>
      <w:r>
        <w:t xml:space="preserve"> each task writes 10–20 internal records; Elasticsearch receives them one per request (bulk size 1) on a 512 MB heap, so tasks appear in Tasklist minutes after they are started. Hard memory caps can restart a container under strain.</w:t>
      </w:r>
    </w:p>
    <w:p>
      <w:pPr>
        <w:pStyle w:val="ListParagraph"/>
        <w:numPr>
          <w:ilvl w:val="0"/>
          <w:numId w:val="2"/>
        </w:numPr>
        <w:spacing w:after="60"/>
      </w:pPr>
      <w:r>
        <w:rPr>
          <w:b/>
          <w:bCs/>
        </w:rPr>
        <w:t xml:space="preserve">Likely failure point (from the code, not tested):</w:t>
      </w:r>
      <w:r>
        <w:t xml:space="preserve"> the Tasks page sends every transaction ID in one URL for an account lookup; with a few thousand tasks this exceeds URL limits and the whole page shows an error.</w:t>
      </w:r>
    </w:p>
    <w:p>
      <w:pPr>
        <w:pStyle w:val="ListParagraph"/>
        <w:numPr>
          <w:ilvl w:val="0"/>
          <w:numId w:val="2"/>
        </w:numPr>
        <w:spacing w:after="60"/>
      </w:pPr>
      <w:r>
        <w:rPr>
          <w:b/>
          <w:bCs/>
        </w:rPr>
        <w:t xml:space="preserve">Reviewer experience:</w:t>
      </w:r>
      <w:r>
        <w:t xml:space="preserve"> the full task list is re-downloaded after every approval, so large queues make the page slow to use.</w:t>
      </w:r>
    </w:p>
    <w:p>
      <w:pPr>
        <w:pStyle w:val="Heading2"/>
      </w:pPr>
      <w:r>
        <w:t xml:space="preserve">8.5 Role of the current development PC</w:t>
      </w:r>
    </w:p>
    <w:p>
      <w:pPr>
        <w:pStyle w:val="ListParagraph"/>
        <w:numPr>
          <w:ilvl w:val="0"/>
          <w:numId w:val="2"/>
        </w:numPr>
        <w:spacing w:after="60"/>
      </w:pPr>
      <w:r>
        <w:t xml:space="preserve">Intel i7-1185G7 (4 cores / 8 threads), 32 GB RAM, 256 GB SSD.</w:t>
      </w:r>
    </w:p>
    <w:p>
      <w:pPr>
        <w:pStyle w:val="ListParagraph"/>
        <w:numPr>
          <w:ilvl w:val="0"/>
          <w:numId w:val="2"/>
        </w:numPr>
        <w:spacing w:after="60"/>
      </w:pPr>
      <w:r>
        <w:rPr>
          <w:b/>
          <w:bCs/>
        </w:rPr>
        <w:t xml:space="preserve">Does not affect pipeline speed</w:t>
      </w:r>
      <w:r>
        <w:t xml:space="preserve"> — data processing runs in Databricks.</w:t>
      </w:r>
    </w:p>
    <w:p>
      <w:pPr>
        <w:pStyle w:val="ListParagraph"/>
        <w:numPr>
          <w:ilvl w:val="0"/>
          <w:numId w:val="2"/>
        </w:numPr>
        <w:spacing w:after="60"/>
      </w:pPr>
      <w:r>
        <w:rPr>
          <w:b/>
          <w:bCs/>
        </w:rPr>
        <w:t xml:space="preserve">Does affect</w:t>
      </w:r>
      <w:r>
        <w:t xml:space="preserve"> Camunda and the assistant: all local services share 4 cores (the Docker VM gets at most 4 CPUs / 3.77 GB); a thin-laptop chip throttles under sustained load.</w:t>
      </w:r>
    </w:p>
    <w:p>
      <w:pPr>
        <w:pStyle w:val="ListParagraph"/>
        <w:numPr>
          <w:ilvl w:val="0"/>
          <w:numId w:val="2"/>
        </w:numPr>
        <w:spacing w:after="60"/>
      </w:pPr>
      <w:r>
        <w:rPr>
          <w:b/>
          <w:bCs/>
        </w:rPr>
        <w:t xml:space="preserve">Network to Neon</w:t>
      </w:r>
      <w:r>
        <w:t xml:space="preserve"> is the main limit on task creation: every task start writes to the database over the internet.</w:t>
      </w:r>
    </w:p>
    <w:p>
      <w:pPr>
        <w:pStyle w:val="ListParagraph"/>
        <w:numPr>
          <w:ilvl w:val="0"/>
          <w:numId w:val="2"/>
        </w:numPr>
        <w:spacing w:after="60"/>
      </w:pPr>
      <w:r>
        <w:t xml:space="preserve">If the laptop sleeps, the bridge workers stop and nothing restarts them. Elasticsearch stops writing when the disk passes ~95% full.</w:t>
      </w:r>
    </w:p>
    <w:p>
      <w:pPr>
        <w:pStyle w:val="Heading1"/>
      </w:pPr>
      <w:r>
        <w:t xml:space="preserve">9. Hosting and costs (Azure UAE North, USD per month)</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226"/>
        <w:gridCol w:w="1400"/>
        <w:gridCol w:w="1700"/>
        <w:gridCol w:w="2700"/>
      </w:tblGrid>
      <w:tr>
        <w:trPr>
          <w:tblHeader/>
        </w:trPr>
        <w:tc>
          <w:tcPr>
            <w:tcW w:type="dxa" w:w="3226"/>
            <w:shd w:fill="1F4E79" w:color="auto" w:val="clear"/>
            <w:tcMar>
              <w:top w:type="dxa" w:w="60"/>
              <w:left w:type="dxa" w:w="100"/>
              <w:bottom w:type="dxa" w:w="60"/>
              <w:right w:type="dxa" w:w="100"/>
            </w:tcMar>
          </w:tcPr>
          <w:p>
            <w:r>
              <w:rPr>
                <w:b/>
                <w:bCs/>
                <w:color w:val="FFFFFF"/>
                <w:sz w:val="19"/>
                <w:szCs w:val="19"/>
              </w:rPr>
              <w:t xml:space="preserve">Component</w:t>
            </w:r>
          </w:p>
        </w:tc>
        <w:tc>
          <w:tcPr>
            <w:tcW w:type="dxa" w:w="1400"/>
            <w:shd w:fill="1F4E79" w:color="auto" w:val="clear"/>
            <w:tcMar>
              <w:top w:type="dxa" w:w="60"/>
              <w:left w:type="dxa" w:w="100"/>
              <w:bottom w:type="dxa" w:w="60"/>
              <w:right w:type="dxa" w:w="100"/>
            </w:tcMar>
          </w:tcPr>
          <w:p>
            <w:r>
              <w:rPr>
                <w:b/>
                <w:bCs/>
                <w:color w:val="FFFFFF"/>
                <w:sz w:val="19"/>
                <w:szCs w:val="19"/>
              </w:rPr>
              <w:t xml:space="preserve">Lean low</w:t>
            </w:r>
          </w:p>
        </w:tc>
        <w:tc>
          <w:tcPr>
            <w:tcW w:type="dxa" w:w="1700"/>
            <w:shd w:fill="1F4E79" w:color="auto" w:val="clear"/>
            <w:tcMar>
              <w:top w:type="dxa" w:w="60"/>
              <w:left w:type="dxa" w:w="100"/>
              <w:bottom w:type="dxa" w:w="60"/>
              <w:right w:type="dxa" w:w="100"/>
            </w:tcMar>
          </w:tcPr>
          <w:p>
            <w:r>
              <w:rPr>
                <w:b/>
                <w:bCs/>
                <w:color w:val="FFFFFF"/>
                <w:sz w:val="19"/>
                <w:szCs w:val="19"/>
              </w:rPr>
              <w:t xml:space="preserve">Lean expected</w:t>
            </w:r>
          </w:p>
        </w:tc>
        <w:tc>
          <w:tcPr>
            <w:tcW w:type="dxa" w:w="2700"/>
            <w:shd w:fill="1F4E79" w:color="auto" w:val="clear"/>
            <w:tcMar>
              <w:top w:type="dxa" w:w="60"/>
              <w:left w:type="dxa" w:w="100"/>
              <w:bottom w:type="dxa" w:w="60"/>
              <w:right w:type="dxa" w:w="100"/>
            </w:tcMar>
          </w:tcPr>
          <w:p>
            <w:r>
              <w:rPr>
                <w:b/>
                <w:bCs/>
                <w:color w:val="FFFFFF"/>
                <w:sz w:val="19"/>
                <w:szCs w:val="19"/>
              </w:rPr>
              <w:t xml:space="preserve">HA + dev/test expected</w:t>
            </w:r>
          </w:p>
        </w:tc>
      </w:tr>
      <w:tr>
        <w:tc>
          <w:tcPr>
            <w:tcW w:type="dxa" w:w="3226"/>
            <w:tcMar>
              <w:top w:type="dxa" w:w="60"/>
              <w:left w:type="dxa" w:w="100"/>
              <w:bottom w:type="dxa" w:w="60"/>
              <w:right w:type="dxa" w:w="100"/>
            </w:tcMar>
          </w:tcPr>
          <w:p>
            <w:r>
              <w:t xml:space="preserve">Databricks serverless jobs</w:t>
            </w:r>
          </w:p>
        </w:tc>
        <w:tc>
          <w:tcPr>
            <w:tcW w:type="dxa" w:w="1400"/>
            <w:tcMar>
              <w:top w:type="dxa" w:w="60"/>
              <w:left w:type="dxa" w:w="100"/>
              <w:bottom w:type="dxa" w:w="60"/>
              <w:right w:type="dxa" w:w="100"/>
            </w:tcMar>
          </w:tcPr>
          <w:p>
            <w:r>
              <w:t xml:space="preserve">30</w:t>
            </w:r>
          </w:p>
        </w:tc>
        <w:tc>
          <w:tcPr>
            <w:tcW w:type="dxa" w:w="1700"/>
            <w:tcMar>
              <w:top w:type="dxa" w:w="60"/>
              <w:left w:type="dxa" w:w="100"/>
              <w:bottom w:type="dxa" w:w="60"/>
              <w:right w:type="dxa" w:w="100"/>
            </w:tcMar>
          </w:tcPr>
          <w:p>
            <w:r>
              <w:t xml:space="preserve">375</w:t>
            </w:r>
          </w:p>
        </w:tc>
        <w:tc>
          <w:tcPr>
            <w:tcW w:type="dxa" w:w="2700"/>
            <w:tcMar>
              <w:top w:type="dxa" w:w="60"/>
              <w:left w:type="dxa" w:w="100"/>
              <w:bottom w:type="dxa" w:w="60"/>
              <w:right w:type="dxa" w:w="100"/>
            </w:tcMar>
          </w:tcPr>
          <w:p>
            <w:r>
              <w:t xml:space="preserve">525</w:t>
            </w:r>
          </w:p>
        </w:tc>
      </w:tr>
      <w:tr>
        <w:tc>
          <w:tcPr>
            <w:tcW w:type="dxa" w:w="3226"/>
            <w:shd w:fill="F2F6FA" w:color="auto" w:val="clear"/>
            <w:tcMar>
              <w:top w:type="dxa" w:w="60"/>
              <w:left w:type="dxa" w:w="100"/>
              <w:bottom w:type="dxa" w:w="60"/>
              <w:right w:type="dxa" w:w="100"/>
            </w:tcMar>
          </w:tcPr>
          <w:p>
            <w:r>
              <w:t xml:space="preserve">Storage (ADLS Gen2)</w:t>
            </w:r>
          </w:p>
        </w:tc>
        <w:tc>
          <w:tcPr>
            <w:tcW w:type="dxa" w:w="1400"/>
            <w:shd w:fill="F2F6FA" w:color="auto" w:val="clear"/>
            <w:tcMar>
              <w:top w:type="dxa" w:w="60"/>
              <w:left w:type="dxa" w:w="100"/>
              <w:bottom w:type="dxa" w:w="60"/>
              <w:right w:type="dxa" w:w="100"/>
            </w:tcMar>
          </w:tcPr>
          <w:p>
            <w:r>
              <w:t xml:space="preserve">1</w:t>
            </w:r>
          </w:p>
        </w:tc>
        <w:tc>
          <w:tcPr>
            <w:tcW w:type="dxa" w:w="1700"/>
            <w:shd w:fill="F2F6FA" w:color="auto" w:val="clear"/>
            <w:tcMar>
              <w:top w:type="dxa" w:w="60"/>
              <w:left w:type="dxa" w:w="100"/>
              <w:bottom w:type="dxa" w:w="60"/>
              <w:right w:type="dxa" w:w="100"/>
            </w:tcMar>
          </w:tcPr>
          <w:p>
            <w:r>
              <w:t xml:space="preserve">4</w:t>
            </w:r>
          </w:p>
        </w:tc>
        <w:tc>
          <w:tcPr>
            <w:tcW w:type="dxa" w:w="2700"/>
            <w:shd w:fill="F2F6FA" w:color="auto" w:val="clear"/>
            <w:tcMar>
              <w:top w:type="dxa" w:w="60"/>
              <w:left w:type="dxa" w:w="100"/>
              <w:bottom w:type="dxa" w:w="60"/>
              <w:right w:type="dxa" w:w="100"/>
            </w:tcMar>
          </w:tcPr>
          <w:p>
            <w:r>
              <w:t xml:space="preserve">7</w:t>
            </w:r>
          </w:p>
        </w:tc>
      </w:tr>
      <w:tr>
        <w:tc>
          <w:tcPr>
            <w:tcW w:type="dxa" w:w="3226"/>
            <w:tcMar>
              <w:top w:type="dxa" w:w="60"/>
              <w:left w:type="dxa" w:w="100"/>
              <w:bottom w:type="dxa" w:w="60"/>
              <w:right w:type="dxa" w:w="100"/>
            </w:tcMar>
          </w:tcPr>
          <w:p>
            <w:r>
              <w:t xml:space="preserve">PostgreSQL Flexible Server</w:t>
            </w:r>
          </w:p>
        </w:tc>
        <w:tc>
          <w:tcPr>
            <w:tcW w:type="dxa" w:w="1400"/>
            <w:tcMar>
              <w:top w:type="dxa" w:w="60"/>
              <w:left w:type="dxa" w:w="100"/>
              <w:bottom w:type="dxa" w:w="60"/>
              <w:right w:type="dxa" w:w="100"/>
            </w:tcMar>
          </w:tcPr>
          <w:p>
            <w:r>
              <w:t xml:space="preserve">176</w:t>
            </w:r>
          </w:p>
        </w:tc>
        <w:tc>
          <w:tcPr>
            <w:tcW w:type="dxa" w:w="1700"/>
            <w:tcMar>
              <w:top w:type="dxa" w:w="60"/>
              <w:left w:type="dxa" w:w="100"/>
              <w:bottom w:type="dxa" w:w="60"/>
              <w:right w:type="dxa" w:w="100"/>
            </w:tcMar>
          </w:tcPr>
          <w:p>
            <w:r>
              <w:t xml:space="preserve">352</w:t>
            </w:r>
          </w:p>
        </w:tc>
        <w:tc>
          <w:tcPr>
            <w:tcW w:type="dxa" w:w="2700"/>
            <w:tcMar>
              <w:top w:type="dxa" w:w="60"/>
              <w:left w:type="dxa" w:w="100"/>
              <w:bottom w:type="dxa" w:w="60"/>
              <w:right w:type="dxa" w:w="100"/>
            </w:tcMar>
          </w:tcPr>
          <w:p>
            <w:r>
              <w:t xml:space="preserve">828</w:t>
            </w:r>
          </w:p>
        </w:tc>
      </w:tr>
      <w:tr>
        <w:tc>
          <w:tcPr>
            <w:tcW w:type="dxa" w:w="3226"/>
            <w:shd w:fill="F2F6FA" w:color="auto" w:val="clear"/>
            <w:tcMar>
              <w:top w:type="dxa" w:w="60"/>
              <w:left w:type="dxa" w:w="100"/>
              <w:bottom w:type="dxa" w:w="60"/>
              <w:right w:type="dxa" w:w="100"/>
            </w:tcMar>
          </w:tcPr>
          <w:p>
            <w:r>
              <w:t xml:space="preserve">Camunda compute (VM / AKS)</w:t>
            </w:r>
          </w:p>
        </w:tc>
        <w:tc>
          <w:tcPr>
            <w:tcW w:type="dxa" w:w="1400"/>
            <w:shd w:fill="F2F6FA" w:color="auto" w:val="clear"/>
            <w:tcMar>
              <w:top w:type="dxa" w:w="60"/>
              <w:left w:type="dxa" w:w="100"/>
              <w:bottom w:type="dxa" w:w="60"/>
              <w:right w:type="dxa" w:w="100"/>
            </w:tcMar>
          </w:tcPr>
          <w:p>
            <w:r>
              <w:t xml:space="preserve">193</w:t>
            </w:r>
          </w:p>
        </w:tc>
        <w:tc>
          <w:tcPr>
            <w:tcW w:type="dxa" w:w="1700"/>
            <w:shd w:fill="F2F6FA" w:color="auto" w:val="clear"/>
            <w:tcMar>
              <w:top w:type="dxa" w:w="60"/>
              <w:left w:type="dxa" w:w="100"/>
              <w:bottom w:type="dxa" w:w="60"/>
              <w:right w:type="dxa" w:w="100"/>
            </w:tcMar>
          </w:tcPr>
          <w:p>
            <w:r>
              <w:t xml:space="preserve">193</w:t>
            </w:r>
          </w:p>
        </w:tc>
        <w:tc>
          <w:tcPr>
            <w:tcW w:type="dxa" w:w="2700"/>
            <w:shd w:fill="F2F6FA" w:color="auto" w:val="clear"/>
            <w:tcMar>
              <w:top w:type="dxa" w:w="60"/>
              <w:left w:type="dxa" w:w="100"/>
              <w:bottom w:type="dxa" w:w="60"/>
              <w:right w:type="dxa" w:w="100"/>
            </w:tcMar>
          </w:tcPr>
          <w:p>
            <w:r>
              <w:t xml:space="preserve">1,038</w:t>
            </w:r>
          </w:p>
        </w:tc>
      </w:tr>
      <w:tr>
        <w:tc>
          <w:tcPr>
            <w:tcW w:type="dxa" w:w="3226"/>
            <w:tcMar>
              <w:top w:type="dxa" w:w="60"/>
              <w:left w:type="dxa" w:w="100"/>
              <w:bottom w:type="dxa" w:w="60"/>
              <w:right w:type="dxa" w:w="100"/>
            </w:tcMar>
          </w:tcPr>
          <w:p>
            <w:r>
              <w:t xml:space="preserve">API + workers (App Service)</w:t>
            </w:r>
          </w:p>
        </w:tc>
        <w:tc>
          <w:tcPr>
            <w:tcW w:type="dxa" w:w="1400"/>
            <w:tcMar>
              <w:top w:type="dxa" w:w="60"/>
              <w:left w:type="dxa" w:w="100"/>
              <w:bottom w:type="dxa" w:w="60"/>
              <w:right w:type="dxa" w:w="100"/>
            </w:tcMar>
          </w:tcPr>
          <w:p>
            <w:r>
              <w:t xml:space="preserve">139</w:t>
            </w:r>
          </w:p>
        </w:tc>
        <w:tc>
          <w:tcPr>
            <w:tcW w:type="dxa" w:w="1700"/>
            <w:tcMar>
              <w:top w:type="dxa" w:w="60"/>
              <w:left w:type="dxa" w:w="100"/>
              <w:bottom w:type="dxa" w:w="60"/>
              <w:right w:type="dxa" w:w="100"/>
            </w:tcMar>
          </w:tcPr>
          <w:p>
            <w:r>
              <w:t xml:space="preserve">139</w:t>
            </w:r>
          </w:p>
        </w:tc>
        <w:tc>
          <w:tcPr>
            <w:tcW w:type="dxa" w:w="2700"/>
            <w:tcMar>
              <w:top w:type="dxa" w:w="60"/>
              <w:left w:type="dxa" w:w="100"/>
              <w:bottom w:type="dxa" w:w="60"/>
              <w:right w:type="dxa" w:w="100"/>
            </w:tcMar>
          </w:tcPr>
          <w:p>
            <w:r>
              <w:t xml:space="preserve">418</w:t>
            </w:r>
          </w:p>
        </w:tc>
      </w:tr>
      <w:tr>
        <w:tc>
          <w:tcPr>
            <w:tcW w:type="dxa" w:w="3226"/>
            <w:shd w:fill="F2F6FA" w:color="auto" w:val="clear"/>
            <w:tcMar>
              <w:top w:type="dxa" w:w="60"/>
              <w:left w:type="dxa" w:w="100"/>
              <w:bottom w:type="dxa" w:w="60"/>
              <w:right w:type="dxa" w:w="100"/>
            </w:tcMar>
          </w:tcPr>
          <w:p>
            <w:r>
              <w:t xml:space="preserve">Frontend (Static Web Apps)</w:t>
            </w:r>
          </w:p>
        </w:tc>
        <w:tc>
          <w:tcPr>
            <w:tcW w:type="dxa" w:w="1400"/>
            <w:shd w:fill="F2F6FA" w:color="auto" w:val="clear"/>
            <w:tcMar>
              <w:top w:type="dxa" w:w="60"/>
              <w:left w:type="dxa" w:w="100"/>
              <w:bottom w:type="dxa" w:w="60"/>
              <w:right w:type="dxa" w:w="100"/>
            </w:tcMar>
          </w:tcPr>
          <w:p>
            <w:r>
              <w:t xml:space="preserve">0</w:t>
            </w:r>
          </w:p>
        </w:tc>
        <w:tc>
          <w:tcPr>
            <w:tcW w:type="dxa" w:w="1700"/>
            <w:shd w:fill="F2F6FA" w:color="auto" w:val="clear"/>
            <w:tcMar>
              <w:top w:type="dxa" w:w="60"/>
              <w:left w:type="dxa" w:w="100"/>
              <w:bottom w:type="dxa" w:w="60"/>
              <w:right w:type="dxa" w:w="100"/>
            </w:tcMar>
          </w:tcPr>
          <w:p>
            <w:r>
              <w:t xml:space="preserve">10</w:t>
            </w:r>
          </w:p>
        </w:tc>
        <w:tc>
          <w:tcPr>
            <w:tcW w:type="dxa" w:w="2700"/>
            <w:shd w:fill="F2F6FA" w:color="auto" w:val="clear"/>
            <w:tcMar>
              <w:top w:type="dxa" w:w="60"/>
              <w:left w:type="dxa" w:w="100"/>
              <w:bottom w:type="dxa" w:w="60"/>
              <w:right w:type="dxa" w:w="100"/>
            </w:tcMar>
          </w:tcPr>
          <w:p>
            <w:r>
              <w:t xml:space="preserve">30</w:t>
            </w:r>
          </w:p>
        </w:tc>
      </w:tr>
      <w:tr>
        <w:tc>
          <w:tcPr>
            <w:tcW w:type="dxa" w:w="3226"/>
            <w:tcMar>
              <w:top w:type="dxa" w:w="60"/>
              <w:left w:type="dxa" w:w="100"/>
              <w:bottom w:type="dxa" w:w="60"/>
              <w:right w:type="dxa" w:w="100"/>
            </w:tcMar>
          </w:tcPr>
          <w:p>
            <w:r>
              <w:t xml:space="preserve">AI assistant (API / CPU / GPU)</w:t>
            </w:r>
          </w:p>
        </w:tc>
        <w:tc>
          <w:tcPr>
            <w:tcW w:type="dxa" w:w="1400"/>
            <w:tcMar>
              <w:top w:type="dxa" w:w="60"/>
              <w:left w:type="dxa" w:w="100"/>
              <w:bottom w:type="dxa" w:w="60"/>
              <w:right w:type="dxa" w:w="100"/>
            </w:tcMar>
          </w:tcPr>
          <w:p>
            <w:r>
              <w:t xml:space="preserve">11</w:t>
            </w:r>
          </w:p>
        </w:tc>
        <w:tc>
          <w:tcPr>
            <w:tcW w:type="dxa" w:w="1700"/>
            <w:tcMar>
              <w:top w:type="dxa" w:w="60"/>
              <w:left w:type="dxa" w:w="100"/>
              <w:bottom w:type="dxa" w:w="60"/>
              <w:right w:type="dxa" w:w="100"/>
            </w:tcMar>
          </w:tcPr>
          <w:p>
            <w:r>
              <w:t xml:space="preserve">172</w:t>
            </w:r>
          </w:p>
        </w:tc>
        <w:tc>
          <w:tcPr>
            <w:tcW w:type="dxa" w:w="2700"/>
            <w:tcMar>
              <w:top w:type="dxa" w:w="60"/>
              <w:left w:type="dxa" w:w="100"/>
              <w:bottom w:type="dxa" w:w="60"/>
              <w:right w:type="dxa" w:w="100"/>
            </w:tcMar>
          </w:tcPr>
          <w:p>
            <w:r>
              <w:t xml:space="preserve">356</w:t>
            </w:r>
          </w:p>
        </w:tc>
      </w:tr>
      <w:tr>
        <w:tc>
          <w:tcPr>
            <w:tcW w:type="dxa" w:w="3226"/>
            <w:shd w:fill="F2F6FA" w:color="auto" w:val="clear"/>
            <w:tcMar>
              <w:top w:type="dxa" w:w="60"/>
              <w:left w:type="dxa" w:w="100"/>
              <w:bottom w:type="dxa" w:w="60"/>
              <w:right w:type="dxa" w:w="100"/>
            </w:tcMar>
          </w:tcPr>
          <w:p>
            <w:r>
              <w:t xml:space="preserve">Keycloak (SSO)</w:t>
            </w:r>
          </w:p>
        </w:tc>
        <w:tc>
          <w:tcPr>
            <w:tcW w:type="dxa" w:w="1400"/>
            <w:shd w:fill="F2F6FA" w:color="auto" w:val="clear"/>
            <w:tcMar>
              <w:top w:type="dxa" w:w="60"/>
              <w:left w:type="dxa" w:w="100"/>
              <w:bottom w:type="dxa" w:w="60"/>
              <w:right w:type="dxa" w:w="100"/>
            </w:tcMar>
          </w:tcPr>
          <w:p>
            <w:r>
              <w:t xml:space="preserve">0</w:t>
            </w:r>
          </w:p>
        </w:tc>
        <w:tc>
          <w:tcPr>
            <w:tcW w:type="dxa" w:w="1700"/>
            <w:shd w:fill="F2F6FA" w:color="auto" w:val="clear"/>
            <w:tcMar>
              <w:top w:type="dxa" w:w="60"/>
              <w:left w:type="dxa" w:w="100"/>
              <w:bottom w:type="dxa" w:w="60"/>
              <w:right w:type="dxa" w:w="100"/>
            </w:tcMar>
          </w:tcPr>
          <w:p>
            <w:r>
              <w:t xml:space="preserve">0</w:t>
            </w:r>
          </w:p>
        </w:tc>
        <w:tc>
          <w:tcPr>
            <w:tcW w:type="dxa" w:w="2700"/>
            <w:shd w:fill="F2F6FA" w:color="auto" w:val="clear"/>
            <w:tcMar>
              <w:top w:type="dxa" w:w="60"/>
              <w:left w:type="dxa" w:w="100"/>
              <w:bottom w:type="dxa" w:w="60"/>
              <w:right w:type="dxa" w:w="100"/>
            </w:tcMar>
          </w:tcPr>
          <w:p>
            <w:r>
              <w:t xml:space="preserve">146</w:t>
            </w:r>
          </w:p>
        </w:tc>
      </w:tr>
      <w:tr>
        <w:tc>
          <w:tcPr>
            <w:tcW w:type="dxa" w:w="3226"/>
            <w:tcMar>
              <w:top w:type="dxa" w:w="60"/>
              <w:left w:type="dxa" w:w="100"/>
              <w:bottom w:type="dxa" w:w="60"/>
              <w:right w:type="dxa" w:w="100"/>
            </w:tcMar>
          </w:tcPr>
          <w:p>
            <w:r>
              <w:t xml:space="preserve">Log Analytics</w:t>
            </w:r>
          </w:p>
        </w:tc>
        <w:tc>
          <w:tcPr>
            <w:tcW w:type="dxa" w:w="1400"/>
            <w:tcMar>
              <w:top w:type="dxa" w:w="60"/>
              <w:left w:type="dxa" w:w="100"/>
              <w:bottom w:type="dxa" w:w="60"/>
              <w:right w:type="dxa" w:w="100"/>
            </w:tcMar>
          </w:tcPr>
          <w:p>
            <w:r>
              <w:t xml:space="preserve">16</w:t>
            </w:r>
          </w:p>
        </w:tc>
        <w:tc>
          <w:tcPr>
            <w:tcW w:type="dxa" w:w="1700"/>
            <w:tcMar>
              <w:top w:type="dxa" w:w="60"/>
              <w:left w:type="dxa" w:w="100"/>
              <w:bottom w:type="dxa" w:w="60"/>
              <w:right w:type="dxa" w:w="100"/>
            </w:tcMar>
          </w:tcPr>
          <w:p>
            <w:r>
              <w:t xml:space="preserve">82</w:t>
            </w:r>
          </w:p>
        </w:tc>
        <w:tc>
          <w:tcPr>
            <w:tcW w:type="dxa" w:w="2700"/>
            <w:tcMar>
              <w:top w:type="dxa" w:w="60"/>
              <w:left w:type="dxa" w:w="100"/>
              <w:bottom w:type="dxa" w:w="60"/>
              <w:right w:type="dxa" w:w="100"/>
            </w:tcMar>
          </w:tcPr>
          <w:p>
            <w:r>
              <w:t xml:space="preserve">181</w:t>
            </w:r>
          </w:p>
        </w:tc>
      </w:tr>
      <w:tr>
        <w:tc>
          <w:tcPr>
            <w:tcW w:type="dxa" w:w="3226"/>
            <w:shd w:fill="F2F6FA" w:color="auto" w:val="clear"/>
            <w:tcMar>
              <w:top w:type="dxa" w:w="60"/>
              <w:left w:type="dxa" w:w="100"/>
              <w:bottom w:type="dxa" w:w="60"/>
              <w:right w:type="dxa" w:w="100"/>
            </w:tcMar>
          </w:tcPr>
          <w:p>
            <w:r>
              <w:t xml:space="preserve">Egress</w:t>
            </w:r>
          </w:p>
        </w:tc>
        <w:tc>
          <w:tcPr>
            <w:tcW w:type="dxa" w:w="1400"/>
            <w:shd w:fill="F2F6FA" w:color="auto" w:val="clear"/>
            <w:tcMar>
              <w:top w:type="dxa" w:w="60"/>
              <w:left w:type="dxa" w:w="100"/>
              <w:bottom w:type="dxa" w:w="60"/>
              <w:right w:type="dxa" w:w="100"/>
            </w:tcMar>
          </w:tcPr>
          <w:p>
            <w:r>
              <w:t xml:space="preserve">0</w:t>
            </w:r>
          </w:p>
        </w:tc>
        <w:tc>
          <w:tcPr>
            <w:tcW w:type="dxa" w:w="1700"/>
            <w:shd w:fill="F2F6FA" w:color="auto" w:val="clear"/>
            <w:tcMar>
              <w:top w:type="dxa" w:w="60"/>
              <w:left w:type="dxa" w:w="100"/>
              <w:bottom w:type="dxa" w:w="60"/>
              <w:right w:type="dxa" w:w="100"/>
            </w:tcMar>
          </w:tcPr>
          <w:p>
            <w:r>
              <w:t xml:space="preserve">0</w:t>
            </w:r>
          </w:p>
        </w:tc>
        <w:tc>
          <w:tcPr>
            <w:tcW w:type="dxa" w:w="2700"/>
            <w:shd w:fill="F2F6FA" w:color="auto" w:val="clear"/>
            <w:tcMar>
              <w:top w:type="dxa" w:w="60"/>
              <w:left w:type="dxa" w:w="100"/>
              <w:bottom w:type="dxa" w:w="60"/>
              <w:right w:type="dxa" w:w="100"/>
            </w:tcMar>
          </w:tcPr>
          <w:p>
            <w:r>
              <w:t xml:space="preserve">18</w:t>
            </w:r>
          </w:p>
        </w:tc>
      </w:tr>
      <w:tr>
        <w:tc>
          <w:tcPr>
            <w:tcW w:type="dxa" w:w="3226"/>
            <w:tcMar>
              <w:top w:type="dxa" w:w="60"/>
              <w:left w:type="dxa" w:w="100"/>
              <w:bottom w:type="dxa" w:w="60"/>
              <w:right w:type="dxa" w:w="100"/>
            </w:tcMar>
          </w:tcPr>
          <w:p>
            <w:r>
              <w:rPr>
                <w:b/>
                <w:bCs/>
              </w:rPr>
              <w:t xml:space="preserve">Monthly total</w:t>
            </w:r>
          </w:p>
        </w:tc>
        <w:tc>
          <w:tcPr>
            <w:tcW w:type="dxa" w:w="1400"/>
            <w:tcMar>
              <w:top w:type="dxa" w:w="60"/>
              <w:left w:type="dxa" w:w="100"/>
              <w:bottom w:type="dxa" w:w="60"/>
              <w:right w:type="dxa" w:w="100"/>
            </w:tcMar>
          </w:tcPr>
          <w:p>
            <w:r>
              <w:rPr>
                <w:b/>
                <w:bCs/>
              </w:rPr>
              <w:t xml:space="preserve">~567</w:t>
            </w:r>
          </w:p>
        </w:tc>
        <w:tc>
          <w:tcPr>
            <w:tcW w:type="dxa" w:w="1700"/>
            <w:tcMar>
              <w:top w:type="dxa" w:w="60"/>
              <w:left w:type="dxa" w:w="100"/>
              <w:bottom w:type="dxa" w:w="60"/>
              <w:right w:type="dxa" w:w="100"/>
            </w:tcMar>
          </w:tcPr>
          <w:p>
            <w:r>
              <w:rPr>
                <w:b/>
                <w:bCs/>
              </w:rPr>
              <w:t xml:space="preserve">~1,327</w:t>
            </w:r>
          </w:p>
        </w:tc>
        <w:tc>
          <w:tcPr>
            <w:tcW w:type="dxa" w:w="2700"/>
            <w:tcMar>
              <w:top w:type="dxa" w:w="60"/>
              <w:left w:type="dxa" w:w="100"/>
              <w:bottom w:type="dxa" w:w="60"/>
              <w:right w:type="dxa" w:w="100"/>
            </w:tcMar>
          </w:tcPr>
          <w:p>
            <w:r>
              <w:rPr>
                <w:b/>
                <w:bCs/>
              </w:rPr>
              <w:t xml:space="preserve">~3,547</w:t>
            </w:r>
          </w:p>
        </w:tc>
      </w:tr>
      <w:tr>
        <w:tc>
          <w:tcPr>
            <w:tcW w:type="dxa" w:w="3226"/>
            <w:shd w:fill="F2F6FA" w:color="auto" w:val="clear"/>
            <w:tcMar>
              <w:top w:type="dxa" w:w="60"/>
              <w:left w:type="dxa" w:w="100"/>
              <w:bottom w:type="dxa" w:w="60"/>
              <w:right w:type="dxa" w:w="100"/>
            </w:tcMar>
          </w:tcPr>
          <w:p>
            <w:r>
              <w:rPr>
                <w:b/>
                <w:bCs/>
              </w:rPr>
              <w:t xml:space="preserve">Yearly total</w:t>
            </w:r>
          </w:p>
        </w:tc>
        <w:tc>
          <w:tcPr>
            <w:tcW w:type="dxa" w:w="1400"/>
            <w:shd w:fill="F2F6FA" w:color="auto" w:val="clear"/>
            <w:tcMar>
              <w:top w:type="dxa" w:w="60"/>
              <w:left w:type="dxa" w:w="100"/>
              <w:bottom w:type="dxa" w:w="60"/>
              <w:right w:type="dxa" w:w="100"/>
            </w:tcMar>
          </w:tcPr>
          <w:p>
            <w:r>
              <w:rPr>
                <w:b/>
                <w:bCs/>
              </w:rPr>
              <w:t xml:space="preserve">~6.8k</w:t>
            </w:r>
          </w:p>
        </w:tc>
        <w:tc>
          <w:tcPr>
            <w:tcW w:type="dxa" w:w="1700"/>
            <w:shd w:fill="F2F6FA" w:color="auto" w:val="clear"/>
            <w:tcMar>
              <w:top w:type="dxa" w:w="60"/>
              <w:left w:type="dxa" w:w="100"/>
              <w:bottom w:type="dxa" w:w="60"/>
              <w:right w:type="dxa" w:w="100"/>
            </w:tcMar>
          </w:tcPr>
          <w:p>
            <w:r>
              <w:rPr>
                <w:b/>
                <w:bCs/>
              </w:rPr>
              <w:t xml:space="preserve">~15.9k</w:t>
            </w:r>
          </w:p>
        </w:tc>
        <w:tc>
          <w:tcPr>
            <w:tcW w:type="dxa" w:w="2700"/>
            <w:shd w:fill="F2F6FA" w:color="auto" w:val="clear"/>
            <w:tcMar>
              <w:top w:type="dxa" w:w="60"/>
              <w:left w:type="dxa" w:w="100"/>
              <w:bottom w:type="dxa" w:w="60"/>
              <w:right w:type="dxa" w:w="100"/>
            </w:tcMar>
          </w:tcPr>
          <w:p>
            <w:r>
              <w:rPr>
                <w:b/>
                <w:bCs/>
              </w:rPr>
              <w:t xml:space="preserve">~42.6k</w:t>
            </w:r>
          </w:p>
        </w:tc>
      </w:tr>
    </w:tbl>
    <w:p>
      <w:pPr>
        <w:spacing w:after="160" w:before="60"/>
      </w:pPr>
      <w:r>
        <w:rPr>
          <w:i/>
          <w:iCs/>
          <w:color w:val="595959"/>
          <w:sz w:val="18"/>
          <w:szCs w:val="18"/>
        </w:rPr>
        <w:t xml:space="preserve">Unit prices from official Azure, Databricks and vendor price pages, checked 2026-10-01. Databricks DBUs per run are an assumption (2 / 5 / 15) and should be measured. High-end scenarios: ~$5.3k (lean) and ~$8.9k (HA) per month.</w:t>
      </w:r>
    </w:p>
    <w:p>
      <w:pPr>
        <w:pStyle w:val="ListParagraph"/>
        <w:numPr>
          <w:ilvl w:val="0"/>
          <w:numId w:val="2"/>
        </w:numPr>
        <w:spacing w:after="60"/>
      </w:pPr>
      <w:r>
        <w:rPr>
          <w:b/>
          <w:bCs/>
        </w:rPr>
        <w:t xml:space="preserve">Excluded:</w:t>
      </w:r>
      <w:r>
        <w:t xml:space="preserve"> Camunda Self-Managed Enterprise licence (quote only — possibly the largest single cost), Salesforce licences, Databricks Enhanced Security &amp; Compliance, Managed DR (+30% of Databricks spend), Private Link, Firewall, Defender, VM backups.</w:t>
      </w:r>
    </w:p>
    <w:p>
      <w:pPr>
        <w:pStyle w:val="ListParagraph"/>
        <w:numPr>
          <w:ilvl w:val="0"/>
          <w:numId w:val="2"/>
        </w:numPr>
        <w:spacing w:after="60"/>
      </w:pPr>
      <w:r>
        <w:rPr>
          <w:b/>
          <w:bCs/>
        </w:rPr>
        <w:t xml:space="preserve">Biggest cost driver:</w:t>
      </w:r>
      <w:r>
        <w:t xml:space="preserve"> Databricks = runs per month × DBUs per run × $0.50/DBU-hour.</w:t>
      </w:r>
    </w:p>
    <w:p>
      <w:pPr>
        <w:pStyle w:val="ListParagraph"/>
        <w:numPr>
          <w:ilvl w:val="0"/>
          <w:numId w:val="2"/>
        </w:numPr>
        <w:spacing w:after="60"/>
      </w:pPr>
      <w:r>
        <w:rPr>
          <w:b/>
          <w:bCs/>
        </w:rPr>
        <w:t xml:space="preserve">Savings options:</w:t>
      </w:r>
      <w:r>
        <w:t xml:space="preserve"> DBU pre-purchase (up to 37%), standard serverless mode, assistant on CPU, single Camunda VM, or replacing Camunda with a simpler status-based approval design to avoid the licence.</w:t>
      </w:r>
    </w:p>
    <w:p>
      <w:pPr>
        <w:pStyle w:val="Heading1"/>
      </w:pPr>
      <w:r>
        <w:t xml:space="preserve">10. Can the system handle large volumes?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3513"/>
        <w:gridCol w:w="3513"/>
      </w:tblGrid>
      <w:tr>
        <w:trPr>
          <w:tblHeader/>
        </w:trPr>
        <w:tc>
          <w:tcPr>
            <w:tcW w:type="dxa" w:w="2000"/>
            <w:shd w:fill="1F4E79" w:color="auto" w:val="clear"/>
            <w:tcMar>
              <w:top w:type="dxa" w:w="60"/>
              <w:left w:type="dxa" w:w="100"/>
              <w:bottom w:type="dxa" w:w="60"/>
              <w:right w:type="dxa" w:w="100"/>
            </w:tcMar>
          </w:tcPr>
          <w:p>
            <w:r>
              <w:rPr>
                <w:b/>
                <w:bCs/>
                <w:color w:val="FFFFFF"/>
                <w:sz w:val="19"/>
                <w:szCs w:val="19"/>
              </w:rPr>
              <w:t xml:space="preserve">Volume per day</w:t>
            </w:r>
          </w:p>
        </w:tc>
        <w:tc>
          <w:tcPr>
            <w:tcW w:type="dxa" w:w="3513"/>
            <w:shd w:fill="1F4E79" w:color="auto" w:val="clear"/>
            <w:tcMar>
              <w:top w:type="dxa" w:w="60"/>
              <w:left w:type="dxa" w:w="100"/>
              <w:bottom w:type="dxa" w:w="60"/>
              <w:right w:type="dxa" w:w="100"/>
            </w:tcMar>
          </w:tcPr>
          <w:p>
            <w:r>
              <w:rPr>
                <w:b/>
                <w:bCs/>
                <w:color w:val="FFFFFF"/>
                <w:sz w:val="19"/>
                <w:szCs w:val="19"/>
              </w:rPr>
              <w:t xml:space="preserve">Hosted, code as-is</w:t>
            </w:r>
          </w:p>
        </w:tc>
        <w:tc>
          <w:tcPr>
            <w:tcW w:type="dxa" w:w="3513"/>
            <w:shd w:fill="1F4E79" w:color="auto" w:val="clear"/>
            <w:tcMar>
              <w:top w:type="dxa" w:w="60"/>
              <w:left w:type="dxa" w:w="100"/>
              <w:bottom w:type="dxa" w:w="60"/>
              <w:right w:type="dxa" w:w="100"/>
            </w:tcMar>
          </w:tcPr>
          <w:p>
            <w:r>
              <w:rPr>
                <w:b/>
                <w:bCs/>
                <w:color w:val="FFFFFF"/>
                <w:sz w:val="19"/>
                <w:szCs w:val="19"/>
              </w:rPr>
              <w:t xml:space="preserve">Hosted, after changes in section 11</w:t>
            </w:r>
          </w:p>
        </w:tc>
      </w:tr>
      <w:tr>
        <w:tc>
          <w:tcPr>
            <w:tcW w:type="dxa" w:w="2000"/>
            <w:tcMar>
              <w:top w:type="dxa" w:w="60"/>
              <w:left w:type="dxa" w:w="100"/>
              <w:bottom w:type="dxa" w:w="60"/>
              <w:right w:type="dxa" w:w="100"/>
            </w:tcMar>
          </w:tcPr>
          <w:p>
            <w:r>
              <w:t xml:space="preserve">10,000</w:t>
            </w:r>
          </w:p>
        </w:tc>
        <w:tc>
          <w:tcPr>
            <w:tcW w:type="dxa" w:w="3513"/>
            <w:tcMar>
              <w:top w:type="dxa" w:w="60"/>
              <w:left w:type="dxa" w:w="100"/>
              <w:bottom w:type="dxa" w:w="60"/>
              <w:right w:type="dxa" w:w="100"/>
            </w:tcMar>
          </w:tcPr>
          <w:p>
            <w:r>
              <w:t xml:space="preserve">Yes — ~6–8 min per run</w:t>
            </w:r>
          </w:p>
        </w:tc>
        <w:tc>
          <w:tcPr>
            <w:tcW w:type="dxa" w:w="3513"/>
            <w:tcMar>
              <w:top w:type="dxa" w:w="60"/>
              <w:left w:type="dxa" w:w="100"/>
              <w:bottom w:type="dxa" w:w="60"/>
              <w:right w:type="dxa" w:w="100"/>
            </w:tcMar>
          </w:tcPr>
          <w:p>
            <w:r>
              <w:t xml:space="preserve">Yes</w:t>
            </w:r>
          </w:p>
        </w:tc>
      </w:tr>
      <w:tr>
        <w:tc>
          <w:tcPr>
            <w:tcW w:type="dxa" w:w="2000"/>
            <w:shd w:fill="F2F6FA" w:color="auto" w:val="clear"/>
            <w:tcMar>
              <w:top w:type="dxa" w:w="60"/>
              <w:left w:type="dxa" w:w="100"/>
              <w:bottom w:type="dxa" w:w="60"/>
              <w:right w:type="dxa" w:w="100"/>
            </w:tcMar>
          </w:tcPr>
          <w:p>
            <w:r>
              <w:t xml:space="preserve">100,000</w:t>
            </w:r>
          </w:p>
        </w:tc>
        <w:tc>
          <w:tcPr>
            <w:tcW w:type="dxa" w:w="3513"/>
            <w:shd w:fill="F2F6FA" w:color="auto" w:val="clear"/>
            <w:tcMar>
              <w:top w:type="dxa" w:w="60"/>
              <w:left w:type="dxa" w:w="100"/>
              <w:bottom w:type="dxa" w:w="60"/>
              <w:right w:type="dxa" w:w="100"/>
            </w:tcMar>
          </w:tcPr>
          <w:p>
            <w:r>
              <w:t xml:space="preserve">Yes — ~7–10 min</w:t>
            </w:r>
          </w:p>
        </w:tc>
        <w:tc>
          <w:tcPr>
            <w:tcW w:type="dxa" w:w="3513"/>
            <w:shd w:fill="F2F6FA" w:color="auto" w:val="clear"/>
            <w:tcMar>
              <w:top w:type="dxa" w:w="60"/>
              <w:left w:type="dxa" w:w="100"/>
              <w:bottom w:type="dxa" w:w="60"/>
              <w:right w:type="dxa" w:w="100"/>
            </w:tcMar>
          </w:tcPr>
          <w:p>
            <w:r>
              <w:t xml:space="preserve">Yes</w:t>
            </w:r>
          </w:p>
        </w:tc>
      </w:tr>
      <w:tr>
        <w:tc>
          <w:tcPr>
            <w:tcW w:type="dxa" w:w="2000"/>
            <w:tcMar>
              <w:top w:type="dxa" w:w="60"/>
              <w:left w:type="dxa" w:w="100"/>
              <w:bottom w:type="dxa" w:w="60"/>
              <w:right w:type="dxa" w:w="100"/>
            </w:tcMar>
          </w:tcPr>
          <w:p>
            <w:r>
              <w:t xml:space="preserve">1,000,000</w:t>
            </w:r>
          </w:p>
        </w:tc>
        <w:tc>
          <w:tcPr>
            <w:tcW w:type="dxa" w:w="3513"/>
            <w:tcMar>
              <w:top w:type="dxa" w:w="60"/>
              <w:left w:type="dxa" w:w="100"/>
              <w:bottom w:type="dxa" w:w="60"/>
              <w:right w:type="dxa" w:w="100"/>
            </w:tcMar>
          </w:tcPr>
          <w:p>
            <w:r>
              <w:t xml:space="preserve">Works but wasteful — ~15–30 min</w:t>
            </w:r>
          </w:p>
        </w:tc>
        <w:tc>
          <w:tcPr>
            <w:tcW w:type="dxa" w:w="3513"/>
            <w:tcMar>
              <w:top w:type="dxa" w:w="60"/>
              <w:left w:type="dxa" w:w="100"/>
              <w:bottom w:type="dxa" w:w="60"/>
              <w:right w:type="dxa" w:w="100"/>
            </w:tcMar>
          </w:tcPr>
          <w:p>
            <w:r>
              <w:t xml:space="preserve">Yes — minutes (only the day's changes)</w:t>
            </w:r>
          </w:p>
        </w:tc>
      </w:tr>
      <w:tr>
        <w:tc>
          <w:tcPr>
            <w:tcW w:type="dxa" w:w="2000"/>
            <w:shd w:fill="F2F6FA" w:color="auto" w:val="clear"/>
            <w:tcMar>
              <w:top w:type="dxa" w:w="60"/>
              <w:left w:type="dxa" w:w="100"/>
              <w:bottom w:type="dxa" w:w="60"/>
              <w:right w:type="dxa" w:w="100"/>
            </w:tcMar>
          </w:tcPr>
          <w:p>
            <w:r>
              <w:t xml:space="preserve">2,000,000+</w:t>
            </w:r>
          </w:p>
        </w:tc>
        <w:tc>
          <w:tcPr>
            <w:tcW w:type="dxa" w:w="3513"/>
            <w:shd w:fill="F2F6FA" w:color="auto" w:val="clear"/>
            <w:tcMar>
              <w:top w:type="dxa" w:w="60"/>
              <w:left w:type="dxa" w:w="100"/>
              <w:bottom w:type="dxa" w:w="60"/>
              <w:right w:type="dxa" w:w="100"/>
            </w:tcMar>
          </w:tcPr>
          <w:p>
            <w:r>
              <w:t xml:space="preserve">No — upload limit, heavy full reload</w:t>
            </w:r>
          </w:p>
        </w:tc>
        <w:tc>
          <w:tcPr>
            <w:tcW w:type="dxa" w:w="3513"/>
            <w:shd w:fill="F2F6FA" w:color="auto" w:val="clear"/>
            <w:tcMar>
              <w:top w:type="dxa" w:w="60"/>
              <w:left w:type="dxa" w:w="100"/>
              <w:bottom w:type="dxa" w:w="60"/>
              <w:right w:type="dxa" w:w="100"/>
            </w:tcMar>
          </w:tcPr>
          <w:p>
            <w:r>
              <w:t xml:space="preserve">Yes — within normal platform capability</w:t>
            </w:r>
          </w:p>
        </w:tc>
      </w:tr>
      <w:tr>
        <w:tc>
          <w:tcPr>
            <w:tcW w:type="dxa" w:w="2000"/>
            <w:tcMar>
              <w:top w:type="dxa" w:w="60"/>
              <w:left w:type="dxa" w:w="100"/>
              <w:bottom w:type="dxa" w:w="60"/>
              <w:right w:type="dxa" w:w="100"/>
            </w:tcMar>
          </w:tcPr>
          <w:p>
            <w:r>
              <w:t xml:space="preserve">Bad delivery (thousands of exceptions)</w:t>
            </w:r>
          </w:p>
        </w:tc>
        <w:tc>
          <w:tcPr>
            <w:tcW w:type="dxa" w:w="3513"/>
            <w:tcMar>
              <w:top w:type="dxa" w:w="60"/>
              <w:left w:type="dxa" w:w="100"/>
              <w:bottom w:type="dxa" w:w="60"/>
              <w:right w:type="dxa" w:w="100"/>
            </w:tcMar>
          </w:tcPr>
          <w:p>
            <w:r>
              <w:t xml:space="preserve">No — thousands of tasks; Tasks page likely fails</w:t>
            </w:r>
          </w:p>
        </w:tc>
        <w:tc>
          <w:tcPr>
            <w:tcW w:type="dxa" w:w="3513"/>
            <w:tcMar>
              <w:top w:type="dxa" w:w="60"/>
              <w:left w:type="dxa" w:w="100"/>
              <w:bottom w:type="dxa" w:w="60"/>
              <w:right w:type="dxa" w:w="100"/>
            </w:tcMar>
          </w:tcPr>
          <w:p>
            <w:r>
              <w:t xml:space="preserve">Yes — grouped into cases with a burst guard</w:t>
            </w:r>
          </w:p>
        </w:tc>
      </w:tr>
    </w:tbl>
    <w:p>
      <w:pPr>
        <w:pStyle w:val="Heading1"/>
      </w:pPr>
      <w:r>
        <w:t xml:space="preserve">11. Changes needed before production volumes</w:t>
      </w:r>
    </w:p>
    <w:p>
      <w:pPr>
        <w:pStyle w:val="ListParagraph"/>
        <w:numPr>
          <w:ilvl w:val="0"/>
          <w:numId w:val="2"/>
        </w:numPr>
        <w:spacing w:after="60"/>
      </w:pPr>
      <w:r>
        <w:rPr>
          <w:b/>
          <w:bCs/>
        </w:rPr>
        <w:t xml:space="preserve">Incremental loads:</w:t>
      </w:r>
      <w:r>
        <w:t xml:space="preserve"> daily files with new transactions only; Auto Loader; Delta MERGE partitioned by date and country.</w:t>
      </w:r>
    </w:p>
    <w:p>
      <w:pPr>
        <w:pStyle w:val="ListParagraph"/>
        <w:numPr>
          <w:ilvl w:val="0"/>
          <w:numId w:val="2"/>
        </w:numPr>
        <w:spacing w:after="60"/>
      </w:pPr>
      <w:r>
        <w:rPr>
          <w:b/>
          <w:bCs/>
        </w:rPr>
        <w:t xml:space="preserve">Push only changes to PostgreSQL,</w:t>
      </w:r>
      <w:r>
        <w:t xml:space="preserve"> or keep raw transactions out of it (screens need summaries and exceptions; drill-to-source can query Databricks).</w:t>
      </w:r>
    </w:p>
    <w:p>
      <w:pPr>
        <w:pStyle w:val="ListParagraph"/>
        <w:numPr>
          <w:ilvl w:val="0"/>
          <w:numId w:val="2"/>
        </w:numPr>
        <w:spacing w:after="60"/>
      </w:pPr>
      <w:r>
        <w:rPr>
          <w:b/>
          <w:bCs/>
        </w:rPr>
        <w:t xml:space="preserve">Land large files directly</w:t>
      </w:r>
      <w:r>
        <w:t xml:space="preserve"> in storage (SFTP / ADLS) instead of the 100 MB app upload.</w:t>
      </w:r>
    </w:p>
    <w:p>
      <w:pPr>
        <w:pStyle w:val="ListParagraph"/>
        <w:numPr>
          <w:ilvl w:val="0"/>
          <w:numId w:val="2"/>
        </w:numPr>
        <w:spacing w:after="60"/>
      </w:pPr>
      <w:r>
        <w:rPr>
          <w:b/>
          <w:bCs/>
        </w:rPr>
        <w:t xml:space="preserve">Group data-quality exceptions into cases</w:t>
      </w:r>
      <w:r>
        <w:t xml:space="preserve"> and add a "bad delivery" guard that raises one task instead of thousands.</w:t>
      </w:r>
    </w:p>
    <w:p>
      <w:pPr>
        <w:pStyle w:val="ListParagraph"/>
        <w:numPr>
          <w:ilvl w:val="0"/>
          <w:numId w:val="2"/>
        </w:numPr>
        <w:spacing w:after="60"/>
      </w:pPr>
      <w:r>
        <w:rPr>
          <w:b/>
          <w:bCs/>
        </w:rPr>
        <w:t xml:space="preserve">Tasks page:</w:t>
      </w:r>
      <w:r>
        <w:t xml:space="preserve"> server-side filtering by group, paging, no full re-download after each action.</w:t>
      </w:r>
    </w:p>
    <w:p>
      <w:pPr>
        <w:pStyle w:val="ListParagraph"/>
        <w:numPr>
          <w:ilvl w:val="0"/>
          <w:numId w:val="2"/>
        </w:numPr>
        <w:spacing w:after="60"/>
      </w:pPr>
      <w:r>
        <w:rPr>
          <w:b/>
          <w:bCs/>
        </w:rPr>
        <w:t xml:space="preserve">Bridge workers:</w:t>
      </w:r>
      <w:r>
        <w:t xml:space="preserve"> batch process starts and run them in the same region as the database.</w:t>
      </w:r>
    </w:p>
    <w:p>
      <w:pPr>
        <w:pStyle w:val="ListParagraph"/>
        <w:numPr>
          <w:ilvl w:val="0"/>
          <w:numId w:val="2"/>
        </w:numPr>
        <w:spacing w:after="60"/>
      </w:pPr>
      <w:r>
        <w:rPr>
          <w:b/>
          <w:bCs/>
        </w:rPr>
        <w:t xml:space="preserve">Camunda tuning:</w:t>
      </w:r>
      <w:r>
        <w:t xml:space="preserve"> larger Elasticsearch bulk size, more heap, multiple partitions; run on AKS.</w:t>
      </w:r>
    </w:p>
    <w:p>
      <w:pPr>
        <w:pStyle w:val="ListParagraph"/>
        <w:numPr>
          <w:ilvl w:val="0"/>
          <w:numId w:val="2"/>
        </w:numPr>
        <w:spacing w:after="60"/>
      </w:pPr>
      <w:r>
        <w:rPr>
          <w:b/>
          <w:bCs/>
        </w:rPr>
        <w:t xml:space="preserve">API:</w:t>
      </w:r>
      <w:r>
        <w:t xml:space="preserve"> shared cache (Redis) before scaling out; move the two live endpoints to precomputed tables.</w:t>
      </w:r>
    </w:p>
    <w:p>
      <w:pPr>
        <w:pStyle w:val="ListParagraph"/>
        <w:numPr>
          <w:ilvl w:val="0"/>
          <w:numId w:val="2"/>
        </w:numPr>
        <w:spacing w:after="60"/>
      </w:pPr>
      <w:r>
        <w:rPr>
          <w:b/>
          <w:bCs/>
        </w:rPr>
        <w:t xml:space="preserve">Operations and security:</w:t>
      </w:r>
      <w:r>
        <w:t xml:space="preserve"> failure alerts, job timeouts, supervised workers, TLS everywhere, SSO/MFA, Key Vault keys, login rate limit.</w:t>
      </w:r>
    </w:p>
    <w:p>
      <w:pPr>
        <w:pStyle w:val="Heading1"/>
      </w:pPr>
      <w:r>
        <w:t xml:space="preserve">12. Notes for client conversations</w:t>
      </w:r>
    </w:p>
    <w:p>
      <w:pPr>
        <w:pStyle w:val="ListParagraph"/>
        <w:numPr>
          <w:ilvl w:val="0"/>
          <w:numId w:val="2"/>
        </w:numPr>
        <w:spacing w:after="60"/>
      </w:pPr>
      <w:r>
        <w:t xml:space="preserve">Present the demo as a demo: laptop hosting, Neon on AWS, synthetic data and Camunda's disabled security are demo-only, not the target design.</w:t>
      </w:r>
    </w:p>
    <w:p>
      <w:pPr>
        <w:pStyle w:val="ListParagraph"/>
        <w:numPr>
          <w:ilvl w:val="0"/>
          <w:numId w:val="2"/>
        </w:numPr>
        <w:spacing w:after="60"/>
      </w:pPr>
      <w:r>
        <w:t xml:space="preserve">Quote measured figures only as measured ("about 6 minutes on ~2,000 transactions"); label everything else as an estimate.</w:t>
      </w:r>
    </w:p>
    <w:p>
      <w:pPr>
        <w:pStyle w:val="ListParagraph"/>
        <w:numPr>
          <w:ilvl w:val="0"/>
          <w:numId w:val="2"/>
        </w:numPr>
        <w:spacing w:after="60"/>
      </w:pPr>
      <w:r>
        <w:t xml:space="preserve">Do not claim "real-time", "handles 2 million transactions", "bank-grade secure" or regulatory compliance; say "designed to meet these controls in production".</w:t>
      </w:r>
    </w:p>
    <w:p>
      <w:pPr>
        <w:pStyle w:val="ListParagraph"/>
        <w:numPr>
          <w:ilvl w:val="0"/>
          <w:numId w:val="2"/>
        </w:numPr>
        <w:spacing w:after="60"/>
      </w:pPr>
      <w:r>
        <w:t xml:space="preserve">Flag placeholder KPI assumptions (NIM, cost-to-income, ROE) and that thresholds are bank-configurable settings.</w:t>
      </w:r>
    </w:p>
    <w:p>
      <w:pPr>
        <w:pStyle w:val="ListParagraph"/>
        <w:numPr>
          <w:ilvl w:val="0"/>
          <w:numId w:val="2"/>
        </w:numPr>
        <w:spacing w:after="60"/>
      </w:pPr>
      <w:r>
        <w:t xml:space="preserve">Always mention the Camunda licence when discussing cost.</w:t>
      </w:r>
    </w:p>
    <w:p>
      <w:pPr>
        <w:pStyle w:val="ListParagraph"/>
        <w:numPr>
          <w:ilvl w:val="0"/>
          <w:numId w:val="2"/>
        </w:numPr>
        <w:spacing w:after="60"/>
      </w:pPr>
      <w:r>
        <w:t xml:space="preserve">Lead with the differentiators: insert-only audit trail and drill-to-source on every number.</w:t>
      </w:r>
    </w:p>
    <w:p>
      <w:pPr>
        <w:pStyle w:val="ListParagraph"/>
        <w:numPr>
          <w:ilvl w:val="0"/>
          <w:numId w:val="2"/>
        </w:numPr>
        <w:spacing w:after="60"/>
      </w:pPr>
      <w:r>
        <w:t xml:space="preserve">Suggested one-liner: "The cloud services underneath scale to bank volumes. The proof of concept reprocesses everything each run; for production we switch to incremental daily loads, so run time depends on what changed that day, not on the bank's total size."</w:t>
      </w:r>
    </w:p>
    <w:p>
      <w:pPr>
        <w:pStyle w:val="Heading1"/>
      </w:pPr>
      <w:r>
        <w:t xml:space="preserve">Appendix — basis of these figures</w:t>
      </w:r>
    </w:p>
    <w:p>
      <w:pPr>
        <w:pStyle w:val="ListParagraph"/>
        <w:numPr>
          <w:ilvl w:val="0"/>
          <w:numId w:val="2"/>
        </w:numPr>
        <w:spacing w:after="60"/>
      </w:pPr>
      <w:r>
        <w:t xml:space="preserve">Recorded: pipeline run of "about 6 minutes" on the demo data (~1,900 transactions), per the demo guide; no run log is kept.</w:t>
      </w:r>
    </w:p>
    <w:p>
      <w:pPr>
        <w:pStyle w:val="ListParagraph"/>
        <w:numPr>
          <w:ilvl w:val="0"/>
          <w:numId w:val="2"/>
        </w:numPr>
        <w:spacing w:after="60"/>
      </w:pPr>
      <w:r>
        <w:t xml:space="preserve">Estimates: derived from the code (pipeline job definition, notebooks, load script, bridge workers, Tasks page) and typical Spark, network and PostgreSQL behaviour; not load-tested.</w:t>
      </w:r>
    </w:p>
    <w:p>
      <w:pPr>
        <w:pStyle w:val="ListParagraph"/>
        <w:numPr>
          <w:ilvl w:val="0"/>
          <w:numId w:val="2"/>
        </w:numPr>
        <w:spacing w:after="60"/>
      </w:pPr>
      <w:r>
        <w:t xml:space="preserve">Largest dataset run to date: ~2,349 transactions. No test at 100k, 1M or 2M.</w:t>
      </w:r>
    </w:p>
    <w:p>
      <w:pPr>
        <w:pStyle w:val="ListParagraph"/>
        <w:numPr>
          <w:ilvl w:val="0"/>
          <w:numId w:val="2"/>
        </w:numPr>
        <w:spacing w:after="60"/>
      </w:pPr>
      <w:r>
        <w:t xml:space="preserve">Recommended next step: benchmark 10k / 100k / 1M synthetic transactions and 1k / 5k / 10k workflow tasks, and measure DBUs per run from Databricks billing data.</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b/>
      <w:bCs/>
      <w:color w:val="1F4E79"/>
      <w:sz w:val="28"/>
      <w:szCs w:val="28"/>
    </w:rPr>
  </w:style>
  <w:style w:type="paragraph" w:styleId="Heading2">
    <w:name w:val="Heading 2"/>
    <w:basedOn w:val="Normal"/>
    <w:next w:val="Normal"/>
    <w:qFormat/>
    <w:pPr>
      <w:spacing w:after="80" w:before="200"/>
      <w:outlineLvl w:val="1"/>
    </w:pPr>
    <w:rPr>
      <w:b/>
      <w:bCs/>
      <w:color w:val="2E2E2E"/>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at Scale - Summary</dc:title>
  <dc:creator>Bank Data Platform team</dc:creator>
  <cp:lastModifiedBy>Un-named</cp:lastModifiedBy>
  <cp:revision>1</cp:revision>
  <dcterms:created xsi:type="dcterms:W3CDTF">2026-10-07T14:07:44.739Z</dcterms:created>
  <dcterms:modified xsi:type="dcterms:W3CDTF">2026-10-07T14:07:44.740Z</dcterms:modified>
</cp:coreProperties>
</file>

<file path=docProps/custom.xml><?xml version="1.0" encoding="utf-8"?>
<Properties xmlns="http://schemas.openxmlformats.org/officeDocument/2006/custom-properties" xmlns:vt="http://schemas.openxmlformats.org/officeDocument/2006/docPropsVTypes"/>
</file>