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40"/>
        <w:jc w:val="center"/>
      </w:pPr>
      <w:r>
        <w:rPr>
          <w:b/>
          <w:bCs/>
          <w:color w:val="1F4E79"/>
          <w:sz w:val="44"/>
          <w:szCs w:val="44"/>
        </w:rPr>
        <w:t xml:space="preserve">Tool 1 — Reconciliation &amp; Verification Engine</w:t>
      </w:r>
    </w:p>
    <w:p>
      <w:pPr>
        <w:spacing w:after="480"/>
        <w:jc w:val="center"/>
      </w:pPr>
      <w:r>
        <w:rPr>
          <w:sz w:val="32"/>
          <w:szCs w:val="32"/>
        </w:rPr>
        <w:t xml:space="preserve">A plain-language guide to every file</w:t>
      </w:r>
    </w:p>
    <w:p>
      <w:pPr>
        <w:spacing w:after="120"/>
        <w:jc w:val="center"/>
      </w:pPr>
      <w:r>
        <w:rPr>
          <w:i/>
          <w:iCs/>
          <w:sz w:val="24"/>
          <w:szCs w:val="24"/>
        </w:rPr>
        <w:t xml:space="preserve">For partners, CAs, staff and anyone who is not familiar with the code</w:t>
      </w:r>
    </w:p>
    <w:p>
      <w:pPr>
        <w:spacing w:after="120"/>
        <w:jc w:val="center"/>
      </w:pPr>
      <w:r>
        <w:rPr>
          <w:sz w:val="22"/>
          <w:szCs w:val="22"/>
        </w:rPr>
        <w:t xml:space="preserve">Version 1.0 — 13 October 2026</w:t>
      </w:r>
    </w:p>
    <w:p>
      <w:pPr>
        <w:spacing w:before="1200"/>
        <w:jc w:val="center"/>
      </w:pPr>
      <w:r>
        <w:rPr>
          <w:color w:val="595959"/>
          <w:sz w:val="20"/>
          <w:szCs w:val="20"/>
        </w:rPr>
        <w:t xml:space="preserve">All figures, names and PANs mentioned anywhere in this project are made up for illustration. No real client data is used.</w:t>
      </w:r>
    </w:p>
    <w:p>
      <w:r>
        <w:br w:type="page"/>
      </w:r>
    </w:p>
    <w:p>
      <w:pPr>
        <w:pStyle w:val="Heading1"/>
      </w:pPr>
      <w:r>
        <w:t xml:space="preserve">1. About this guide</w:t>
      </w:r>
    </w:p>
    <w:p>
      <w:pPr>
        <w:spacing w:after="120"/>
      </w:pPr>
      <w:r>
        <w:t xml:space="preserve">Tool 1 is an offline application for a CA firm. It reads the files that the firm's existing systems produce — Tally, the tax suite, the GST portal, TRACES, EPFO and ESIC — and reports, to the rupee, every place where two figures that ought to agree do not. It never prepares or files returns, and it never tells anyone what a figure "should" be.</w:t>
      </w:r>
    </w:p>
    <w:p>
      <w:pPr>
        <w:spacing w:after="120"/>
      </w:pPr>
      <w:r>
        <w:t xml:space="preserve">This guide lists every file in the project and explains, in plain language, </w:t>
      </w:r>
      <w:r>
        <w:rPr>
          <w:b/>
          <w:bCs/>
        </w:rPr>
        <w:t xml:space="preserve">what happens inside that file</w:t>
      </w:r>
      <w:r>
        <w:t xml:space="preserve">. You do not need to read code to use it.</w:t>
      </w:r>
    </w:p>
    <w:p>
      <w:pPr>
        <w:spacing w:after="120"/>
      </w:pPr>
      <w:r>
        <w:rPr>
          <w:b/>
          <w:bCs/>
        </w:rPr>
        <w:t xml:space="preserve">This guide grows with the project.</w:t>
      </w:r>
      <w:r>
        <w:t xml:space="preserve"> It lists only files that exist today. Each time a piece of work (a SPEC) is completed, the files it created are added here in the same plain language. So far the planning documents, the foundation of the program (SPEC-001) and its money counter and calendar (SPEC-002) exist. The tool does not reconcile anything yet; these parts are the structure, the automatic safety checks and the basic instruments everything later is built on.</w:t>
      </w:r>
    </w:p>
    <w:p>
      <w:pPr>
        <w:spacing w:after="120"/>
      </w:pPr>
      <w:r>
        <w:rPr>
          <w:b/>
          <w:bCs/>
        </w:rPr>
        <w:t xml:space="preserve">Where files live.</w:t>
      </w:r>
      <w:r>
        <w:t xml:space="preserve"> The "Where it is" column gives the folder inside the project. "Main project folder" means the top level; "specs" means the folder called specs.</w:t>
      </w:r>
    </w:p>
    <w:p>
      <w:pPr>
        <w:pStyle w:val="Heading1"/>
      </w:pPr>
      <w:r>
        <w:t xml:space="preserve">2. Project documents</w:t>
      </w:r>
    </w:p>
    <w:p>
      <w:pPr>
        <w:spacing w:after="120"/>
      </w:pPr>
      <w:r>
        <w:t xml:space="preserve">The written plans and records for the project. They explain what is being built and why.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4538"/>
        <w:gridCol w:w="1300"/>
      </w:tblGrid>
      <w:tr>
        <w:trPr>
          <w:tblHeader/>
        </w:trPr>
        <w:tc>
          <w:tcPr>
            <w:tcW w:type="dxa" w:w="19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r>
              <w:rPr>
                <w:b/>
                <w:bCs/>
                <w:sz w:val="19"/>
                <w:szCs w:val="19"/>
              </w:rPr>
              <w:t xml:space="preserve">File</w:t>
            </w:r>
          </w:p>
        </w:tc>
        <w:tc>
          <w:tcPr>
            <w:tcW w:type="dxa" w:w="19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r>
              <w:rPr>
                <w:b/>
                <w:bCs/>
                <w:sz w:val="19"/>
                <w:szCs w:val="19"/>
              </w:rPr>
              <w:t xml:space="preserve">Where it is</w:t>
            </w:r>
          </w:p>
        </w:tc>
        <w:tc>
          <w:tcPr>
            <w:tcW w:type="dxa" w:w="453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r>
              <w:rPr>
                <w:b/>
                <w:bCs/>
                <w:sz w:val="19"/>
                <w:szCs w:val="19"/>
              </w:rPr>
              <w:t xml:space="preserve">What happens in this file</w:t>
            </w:r>
          </w:p>
        </w:tc>
        <w:tc>
          <w:tcPr>
            <w:tcW w:type="dxa" w:w="13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r>
              <w:rPr>
                <w:b/>
                <w:bCs/>
                <w:sz w:val="19"/>
                <w:szCs w:val="19"/>
              </w:rPr>
              <w:t xml:space="preserve">Status</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19"/>
                <w:szCs w:val="19"/>
              </w:rPr>
              <w:t xml:space="preserve">requirements-spec-tool1.md</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Main project folder</w:t>
            </w:r>
          </w:p>
        </w:tc>
        <w:tc>
          <w:tcPr>
            <w:tcW w:type="dxa" w:w="45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The agreed requirements for Tool 1: what it must do, who uses it, what it must never do. Every requirement has an ID (for example IN-12) that the other documents refer back to.</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r>
              <w:rPr>
                <w:sz w:val="19"/>
                <w:szCs w:val="19"/>
              </w:rPr>
              <w:t xml:space="preserve">Ready</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19"/>
                <w:szCs w:val="19"/>
              </w:rPr>
              <w:t xml:space="preserve">tool1-technical-spec.md</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Main project folder</w:t>
            </w:r>
          </w:p>
        </w:tc>
        <w:tc>
          <w:tcPr>
            <w:tcW w:type="dxa" w:w="45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The technical design: how the programs are split, how data is stored, how rules work, how security works. Developers follow this.</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r>
              <w:rPr>
                <w:sz w:val="19"/>
                <w:szCs w:val="19"/>
              </w:rPr>
              <w:t xml:space="preserve">Ready</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19"/>
                <w:szCs w:val="19"/>
              </w:rPr>
              <w:t xml:space="preserve">recon-tool-spec.md</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Main project folder</w:t>
            </w:r>
          </w:p>
        </w:tc>
        <w:tc>
          <w:tcPr>
            <w:tcW w:type="dxa" w:w="45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The earlier, broader product specification (version 0.2). Background for the design decisions, including the ten types of defect (R1–R10) the tool must catch.</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r>
              <w:rPr>
                <w:sz w:val="19"/>
                <w:szCs w:val="19"/>
              </w:rPr>
              <w:t xml:space="preserve">Ready</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19"/>
                <w:szCs w:val="19"/>
              </w:rPr>
              <w:t xml:space="preserve">Recon-Tool-Understanding-and-Gaps.docx</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Main project folder</w:t>
            </w:r>
          </w:p>
        </w:tc>
        <w:tc>
          <w:tcPr>
            <w:tcW w:type="dxa" w:w="45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A plain-language summary of the specification plus a list of open questions that still need decisions.</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r>
              <w:rPr>
                <w:sz w:val="19"/>
                <w:szCs w:val="19"/>
              </w:rPr>
              <w:t xml:space="preserve">Ready</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19"/>
                <w:szCs w:val="19"/>
              </w:rPr>
              <w:t xml:space="preserve">CLAUDE.md</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Main project folder</w:t>
            </w:r>
          </w:p>
        </w:tc>
        <w:tc>
          <w:tcPr>
            <w:tcW w:type="dxa" w:w="45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Instructions for the AI coding assistant: the project's non-negotiable rules (exact money, same result every time, no internet in the engine) and how to build and test.</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r>
              <w:rPr>
                <w:sz w:val="19"/>
                <w:szCs w:val="19"/>
              </w:rPr>
              <w:t xml:space="preserve">Ready</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19"/>
                <w:szCs w:val="19"/>
              </w:rPr>
              <w:t xml:space="preserve">Tool1-File-Guide.docx</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docs</w:t>
            </w:r>
          </w:p>
        </w:tc>
        <w:tc>
          <w:tcPr>
            <w:tcW w:type="dxa" w:w="45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This guide.</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r>
              <w:rPr>
                <w:sz w:val="19"/>
                <w:szCs w:val="19"/>
              </w:rPr>
              <w:t xml:space="preserve">Ready</w:t>
            </w:r>
          </w:p>
        </w:tc>
      </w:tr>
    </w:tbl>
    <w:p>
      <w:pPr>
        <w:pStyle w:val="Heading1"/>
      </w:pPr>
      <w:r>
        <w:t xml:space="preserve">3. Build specifications</w:t>
      </w:r>
    </w:p>
    <w:p>
      <w:pPr>
        <w:spacing w:after="120"/>
      </w:pPr>
      <w:r>
        <w:t xml:space="preserve">The work is split into 44 pieces, called SPECs. Each one is built, tested and signed off on its own, in order.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4538"/>
        <w:gridCol w:w="1300"/>
      </w:tblGrid>
      <w:tr>
        <w:trPr>
          <w:tblHeader/>
        </w:trPr>
        <w:tc>
          <w:tcPr>
            <w:tcW w:type="dxa" w:w="19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r>
              <w:rPr>
                <w:b/>
                <w:bCs/>
                <w:sz w:val="19"/>
                <w:szCs w:val="19"/>
              </w:rPr>
              <w:t xml:space="preserve">File</w:t>
            </w:r>
          </w:p>
        </w:tc>
        <w:tc>
          <w:tcPr>
            <w:tcW w:type="dxa" w:w="19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r>
              <w:rPr>
                <w:b/>
                <w:bCs/>
                <w:sz w:val="19"/>
                <w:szCs w:val="19"/>
              </w:rPr>
              <w:t xml:space="preserve">Where it is</w:t>
            </w:r>
          </w:p>
        </w:tc>
        <w:tc>
          <w:tcPr>
            <w:tcW w:type="dxa" w:w="453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r>
              <w:rPr>
                <w:b/>
                <w:bCs/>
                <w:sz w:val="19"/>
                <w:szCs w:val="19"/>
              </w:rPr>
              <w:t xml:space="preserve">What happens in this file</w:t>
            </w:r>
          </w:p>
        </w:tc>
        <w:tc>
          <w:tcPr>
            <w:tcW w:type="dxa" w:w="13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r>
              <w:rPr>
                <w:b/>
                <w:bCs/>
                <w:sz w:val="19"/>
                <w:szCs w:val="19"/>
              </w:rPr>
              <w:t xml:space="preserve">Status</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19"/>
                <w:szCs w:val="19"/>
              </w:rPr>
              <w:t xml:space="preserve">README.md</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specs</w:t>
            </w:r>
          </w:p>
        </w:tc>
        <w:tc>
          <w:tcPr>
            <w:tcW w:type="dxa" w:w="45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The progress tracker. Lists all 44 SPECs by stage, what each depends on, and whether it is Not started, In progress, Done or Verified. Also lists the open questions that hold up particular SPECs.</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r>
              <w:rPr>
                <w:sz w:val="19"/>
                <w:szCs w:val="19"/>
              </w:rPr>
              <w:t xml:space="preserve">Ready</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19"/>
                <w:szCs w:val="19"/>
              </w:rPr>
              <w:t xml:space="preserve">SPEC-001 … SPEC-044</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specs</w:t>
            </w:r>
          </w:p>
        </w:tc>
        <w:tc>
          <w:tcPr>
            <w:tcW w:type="dxa" w:w="45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One file per piece of work. Each says what will be built, what is left out, a checklist of things that must be proven, how to prove them, and a box to record when it was completed and by whom.</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r>
              <w:rPr>
                <w:sz w:val="19"/>
                <w:szCs w:val="19"/>
              </w:rPr>
              <w:t xml:space="preserve">Ready</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19"/>
                <w:szCs w:val="19"/>
              </w:rPr>
              <w:t xml:space="preserve">TEMPLATE.md</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specs</w:t>
            </w:r>
          </w:p>
        </w:tc>
        <w:tc>
          <w:tcPr>
            <w:tcW w:type="dxa" w:w="45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A blank SPEC, used when a new piece of work is added.</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r>
              <w:rPr>
                <w:sz w:val="19"/>
                <w:szCs w:val="19"/>
              </w:rPr>
              <w:t xml:space="preserve">Ready</w:t>
            </w:r>
          </w:p>
        </w:tc>
      </w:tr>
    </w:tbl>
    <w:p>
      <w:pPr>
        <w:pStyle w:val="Heading1"/>
      </w:pPr>
      <w:r>
        <w:t xml:space="preserve">4. AI assistant helpers</w:t>
      </w:r>
    </w:p>
    <w:p>
      <w:pPr>
        <w:spacing w:after="120"/>
      </w:pPr>
      <w:r>
        <w:t xml:space="preserve">Settings for the AI coding assistant used to build the tool. They do not form part of the tool installed at the firm.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4538"/>
        <w:gridCol w:w="1300"/>
      </w:tblGrid>
      <w:tr>
        <w:trPr>
          <w:tblHeader/>
        </w:trPr>
        <w:tc>
          <w:tcPr>
            <w:tcW w:type="dxa" w:w="19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r>
              <w:rPr>
                <w:b/>
                <w:bCs/>
                <w:sz w:val="19"/>
                <w:szCs w:val="19"/>
              </w:rPr>
              <w:t xml:space="preserve">File</w:t>
            </w:r>
          </w:p>
        </w:tc>
        <w:tc>
          <w:tcPr>
            <w:tcW w:type="dxa" w:w="19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r>
              <w:rPr>
                <w:b/>
                <w:bCs/>
                <w:sz w:val="19"/>
                <w:szCs w:val="19"/>
              </w:rPr>
              <w:t xml:space="preserve">Where it is</w:t>
            </w:r>
          </w:p>
        </w:tc>
        <w:tc>
          <w:tcPr>
            <w:tcW w:type="dxa" w:w="453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r>
              <w:rPr>
                <w:b/>
                <w:bCs/>
                <w:sz w:val="19"/>
                <w:szCs w:val="19"/>
              </w:rPr>
              <w:t xml:space="preserve">What happens in this file</w:t>
            </w:r>
          </w:p>
        </w:tc>
        <w:tc>
          <w:tcPr>
            <w:tcW w:type="dxa" w:w="13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r>
              <w:rPr>
                <w:b/>
                <w:bCs/>
                <w:sz w:val="19"/>
                <w:szCs w:val="19"/>
              </w:rPr>
              <w:t xml:space="preserve">Status</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19"/>
                <w:szCs w:val="19"/>
              </w:rPr>
              <w:t xml:space="preserve">code-reviewer.md</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.claude / agents</w:t>
            </w:r>
          </w:p>
        </w:tc>
        <w:tc>
          <w:tcPr>
            <w:tcW w:type="dxa" w:w="45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An AI reviewer that reads new code and reports problems — mistakes, security gaps, hard-to-maintain code, and any breach of the project's rules — showing the current code and a corrected version. It can only read; it never changes files.</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r>
              <w:rPr>
                <w:sz w:val="19"/>
                <w:szCs w:val="19"/>
              </w:rPr>
              <w:t xml:space="preserve">Ready</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19"/>
                <w:szCs w:val="19"/>
              </w:rPr>
              <w:t xml:space="preserve">test-engineer.md</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.claude / agents</w:t>
            </w:r>
          </w:p>
        </w:tc>
        <w:tc>
          <w:tcPr>
            <w:tcW w:type="dxa" w:w="45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An AI tester that writes and runs tests, tries unusual cases (for example amounts with Indian commas, the 31 March / 1 April boundary), checks each SPEC's checklist, and explains the cause of any failure.</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r>
              <w:rPr>
                <w:sz w:val="19"/>
                <w:szCs w:val="19"/>
              </w:rPr>
              <w:t xml:space="preserve">Ready</w:t>
            </w:r>
          </w:p>
        </w:tc>
      </w:tr>
    </w:tbl>
    <w:p>
      <w:pPr>
        <w:pStyle w:val="Heading1"/>
      </w:pPr>
      <w:r>
        <w:t xml:space="preserve">5. The foundation of the program (SPEC-001)</w:t>
      </w:r>
    </w:p>
    <w:p>
      <w:pPr>
        <w:spacing w:after="120"/>
      </w:pPr>
      <w:r>
        <w:t xml:space="preserve">Think of the tool as a building. SPEC-001 laid the foundation and built the empty rooms, put a nameplate on every door, and installed a security guard who checks the building's most important rules automatically. No room has furniture yet: the tool does not read files or produce findings at this stage.</w:t>
      </w:r>
    </w:p>
    <w:p>
      <w:pPr>
        <w:pStyle w:val="Heading2"/>
      </w:pPr>
      <w:r>
        <w:t xml:space="preserve">Project-wide settings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4538"/>
        <w:gridCol w:w="1300"/>
      </w:tblGrid>
      <w:tr>
        <w:trPr>
          <w:tblHeader/>
        </w:trPr>
        <w:tc>
          <w:tcPr>
            <w:tcW w:type="dxa" w:w="19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r>
              <w:rPr>
                <w:b/>
                <w:bCs/>
                <w:sz w:val="19"/>
                <w:szCs w:val="19"/>
              </w:rPr>
              <w:t xml:space="preserve">File</w:t>
            </w:r>
          </w:p>
        </w:tc>
        <w:tc>
          <w:tcPr>
            <w:tcW w:type="dxa" w:w="19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r>
              <w:rPr>
                <w:b/>
                <w:bCs/>
                <w:sz w:val="19"/>
                <w:szCs w:val="19"/>
              </w:rPr>
              <w:t xml:space="preserve">Where it is</w:t>
            </w:r>
          </w:p>
        </w:tc>
        <w:tc>
          <w:tcPr>
            <w:tcW w:type="dxa" w:w="453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r>
              <w:rPr>
                <w:b/>
                <w:bCs/>
                <w:sz w:val="19"/>
                <w:szCs w:val="19"/>
              </w:rPr>
              <w:t xml:space="preserve">What happens in this file</w:t>
            </w:r>
          </w:p>
        </w:tc>
        <w:tc>
          <w:tcPr>
            <w:tcW w:type="dxa" w:w="13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r>
              <w:rPr>
                <w:b/>
                <w:bCs/>
                <w:sz w:val="19"/>
                <w:szCs w:val="19"/>
              </w:rPr>
              <w:t xml:space="preserve">Status</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19"/>
                <w:szCs w:val="19"/>
              </w:rPr>
              <w:t xml:space="preserve">go.mod</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Main project folder</w:t>
            </w:r>
          </w:p>
        </w:tc>
        <w:tc>
          <w:tcPr>
            <w:tcW w:type="dxa" w:w="45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The project's registration certificate. It records the project's official name (its GitHub address), the version of the Go programming language it is built with (1.27), and — as parts are added later — the exact outside building blocks it uses, so the tool builds the same way on every computer. The first one, added in SPEC-004, is the YAML reader (go.yaml.in/yaml/v3), which reads the CA-readable data files; the security guard checks it has no internet ability.</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r>
              <w:rPr>
                <w:sz w:val="19"/>
                <w:szCs w:val="19"/>
              </w:rPr>
              <w:t xml:space="preserve">Ready</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19"/>
                <w:szCs w:val="19"/>
              </w:rPr>
              <w:t xml:space="preserve">.gitignore</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Main project folder</w:t>
            </w:r>
          </w:p>
        </w:tc>
        <w:tc>
          <w:tcPr>
            <w:tcW w:type="dxa" w:w="45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The "never store" list. It stops the project history from ever keeping client databases, uploaded client files, real samples from the firm, Office lock files, private signing keys, or files that are produced automatically. It applies only to the top-level data folders, so program folders with similar names (such as internal / vault) are still stored, and it deliberately allows the bundled PDF reader and public keys.</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r>
              <w:rPr>
                <w:sz w:val="19"/>
                <w:szCs w:val="19"/>
              </w:rPr>
              <w:t xml:space="preserve">Ready</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19"/>
                <w:szCs w:val="19"/>
              </w:rPr>
              <w:t xml:space="preserve">ci.yml</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.github / workflows</w:t>
            </w:r>
          </w:p>
        </w:tc>
        <w:tc>
          <w:tcPr>
            <w:tcW w:type="dxa" w:w="45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Instructions for GitHub. Every time work is sent to GitHub, GitHub's own computer checks that the code is tidy, looks for common mistakes, runs all tests including the security guard, and builds the Windows programs. The result shows as a green tick or a red cross next to each save.</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r>
              <w:rPr>
                <w:sz w:val="19"/>
                <w:szCs w:val="19"/>
              </w:rPr>
              <w:t xml:space="preserve">Ready</w:t>
            </w:r>
          </w:p>
        </w:tc>
      </w:tr>
    </w:tbl>
    <w:p>
      <w:pPr>
        <w:pStyle w:val="Heading2"/>
      </w:pPr>
      <w:r>
        <w:t xml:space="preserve">The front doors of the programs</w:t>
      </w:r>
    </w:p>
    <w:p>
      <w:pPr>
        <w:spacing w:after="120"/>
      </w:pPr>
      <w:r>
        <w:t xml:space="preserve">Each program has one starting file. At this stage each one only prints "not built yet" and stops.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4538"/>
        <w:gridCol w:w="1300"/>
      </w:tblGrid>
      <w:tr>
        <w:trPr>
          <w:tblHeader/>
        </w:trPr>
        <w:tc>
          <w:tcPr>
            <w:tcW w:type="dxa" w:w="19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r>
              <w:rPr>
                <w:b/>
                <w:bCs/>
                <w:sz w:val="19"/>
                <w:szCs w:val="19"/>
              </w:rPr>
              <w:t xml:space="preserve">File</w:t>
            </w:r>
          </w:p>
        </w:tc>
        <w:tc>
          <w:tcPr>
            <w:tcW w:type="dxa" w:w="19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r>
              <w:rPr>
                <w:b/>
                <w:bCs/>
                <w:sz w:val="19"/>
                <w:szCs w:val="19"/>
              </w:rPr>
              <w:t xml:space="preserve">Where it is</w:t>
            </w:r>
          </w:p>
        </w:tc>
        <w:tc>
          <w:tcPr>
            <w:tcW w:type="dxa" w:w="453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r>
              <w:rPr>
                <w:b/>
                <w:bCs/>
                <w:sz w:val="19"/>
                <w:szCs w:val="19"/>
              </w:rPr>
              <w:t xml:space="preserve">What happens in this file</w:t>
            </w:r>
          </w:p>
        </w:tc>
        <w:tc>
          <w:tcPr>
            <w:tcW w:type="dxa" w:w="13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r>
              <w:rPr>
                <w:b/>
                <w:bCs/>
                <w:sz w:val="19"/>
                <w:szCs w:val="19"/>
              </w:rPr>
              <w:t xml:space="preserve">Status</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19"/>
                <w:szCs w:val="19"/>
              </w:rPr>
              <w:t xml:space="preserve">main.go</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cmd / recon-engine</w:t>
            </w:r>
          </w:p>
        </w:tc>
        <w:tc>
          <w:tcPr>
            <w:tcW w:type="dxa" w:w="45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Front door of the </w:t>
            </w:r>
            <w:r>
              <w:rPr>
                <w:b/>
                <w:bCs/>
                <w:sz w:val="19"/>
                <w:szCs w:val="19"/>
              </w:rPr>
              <w:t xml:space="preserve">engine</w:t>
            </w:r>
            <w:r>
              <w:rPr>
                <w:sz w:val="19"/>
                <w:szCs w:val="19"/>
              </w:rPr>
              <w:t xml:space="preserve">, the part that will read files, run the rules and produce findings. It must never contain internet or network ability; the security guard checks this. Real work arrives in SPEC-011.</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r>
              <w:rPr>
                <w:sz w:val="19"/>
                <w:szCs w:val="19"/>
              </w:rPr>
              <w:t xml:space="preserve">Ready</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19"/>
                <w:szCs w:val="19"/>
              </w:rPr>
              <w:t xml:space="preserve">main.go</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cmd / recon-server</w:t>
            </w:r>
          </w:p>
        </w:tc>
        <w:tc>
          <w:tcPr>
            <w:tcW w:type="dxa" w:w="45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Front door of the </w:t>
            </w:r>
            <w:r>
              <w:rPr>
                <w:b/>
                <w:bCs/>
                <w:sz w:val="19"/>
                <w:szCs w:val="19"/>
              </w:rPr>
              <w:t xml:space="preserve">server</w:t>
            </w:r>
            <w:r>
              <w:rPr>
                <w:sz w:val="19"/>
                <w:szCs w:val="19"/>
              </w:rPr>
              <w:t xml:space="preserve">, which staff will open in their browsers on the office network. Real work arrives in SPEC-022.</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r>
              <w:rPr>
                <w:sz w:val="19"/>
                <w:szCs w:val="19"/>
              </w:rPr>
              <w:t xml:space="preserve">Ready</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19"/>
                <w:szCs w:val="19"/>
              </w:rPr>
              <w:t xml:space="preserve">main.go</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cmd / recon-updater</w:t>
            </w:r>
          </w:p>
        </w:tc>
        <w:tc>
          <w:tcPr>
            <w:tcW w:type="dxa" w:w="45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Front door of the </w:t>
            </w:r>
            <w:r>
              <w:rPr>
                <w:b/>
                <w:bCs/>
                <w:sz w:val="19"/>
                <w:szCs w:val="19"/>
              </w:rPr>
              <w:t xml:space="preserve">updater</w:t>
            </w:r>
            <w:r>
              <w:rPr>
                <w:sz w:val="19"/>
                <w:szCs w:val="19"/>
              </w:rPr>
              <w:t xml:space="preserve">, which will install updates from USB and undo them if needed. Like the engine, it is checked to have no network ability. Real work arrives in SPEC-042.</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r>
              <w:rPr>
                <w:sz w:val="19"/>
                <w:szCs w:val="19"/>
              </w:rPr>
              <w:t xml:space="preserve">Ready</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19"/>
                <w:szCs w:val="19"/>
              </w:rPr>
              <w:t xml:space="preserve">main.go</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cmd / recon-dev</w:t>
            </w:r>
          </w:p>
        </w:tc>
        <w:tc>
          <w:tcPr>
            <w:tcW w:type="dxa" w:w="45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Front door of the developer tools (testing formats, checking rules, making sample data). Never installed at the firm. It lists the tools it offers; the first, “vocab-doc”, was added in SPEC-004.</w:t>
            </w:r>
            <w:r>
              <w:rPr>
                <w:b/>
                <w:bCs/>
                <w:sz w:val="19"/>
                <w:szCs w:val="19"/>
              </w:rPr>
              <w:t xml:space="preserve"/>
            </w:r>
            <w:r>
              <w:rPr>
                <w:sz w:val="19"/>
                <w:szCs w:val="19"/>
              </w:rPr>
              <w:t xml:space="preserve"/>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r>
              <w:rPr>
                <w:sz w:val="19"/>
                <w:szCs w:val="19"/>
              </w:rPr>
              <w:t xml:space="preserve">Ready</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19"/>
                <w:szCs w:val="19"/>
              </w:rPr>
              <w:t xml:space="preserve">README.md</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cmd / recon-collector</w:t>
            </w:r>
          </w:p>
        </w:tc>
        <w:tc>
          <w:tcPr>
            <w:tcW w:type="dxa" w:w="45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A note explaining the optional Tally live-pull program, to be built only if the firm asks for it (SPEC-043). No program yet.</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r>
              <w:rPr>
                <w:sz w:val="19"/>
                <w:szCs w:val="19"/>
              </w:rPr>
              <w:t xml:space="preserve">Ready</w:t>
            </w:r>
          </w:p>
        </w:tc>
      </w:tr>
    </w:tbl>
    <w:p>
      <w:pPr>
        <w:pStyle w:val="Heading2"/>
      </w:pPr>
      <w:r>
        <w:t xml:space="preserve">The rooms and their nameplates</w:t>
      </w:r>
    </w:p>
    <w:p>
      <w:pPr>
        <w:spacing w:after="120"/>
      </w:pPr>
      <w:r>
        <w:t xml:space="preserve">Every room (folder) under "internal" has one small nameplate file called </w:t>
      </w:r>
      <w:r>
        <w:rPr>
          <w:b/>
          <w:bCs/>
        </w:rPr>
        <w:t xml:space="preserve">doc.go</w:t>
      </w:r>
      <w:r>
        <w:t xml:space="preserve">. It states in a sentence or two what will happen in that room and what must never happen there. The rooms are empty for now; the table says what each will hold.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tblHeader/>
        </w:trPr>
        <w:tc>
          <w:tcPr>
            <w:tcW w:type="dxa" w:w="33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r>
              <w:rPr>
                <w:b/>
                <w:bCs/>
                <w:sz w:val="19"/>
                <w:szCs w:val="19"/>
              </w:rPr>
              <w:t xml:space="preserve">Room (folder)</w:t>
            </w:r>
          </w:p>
        </w:tc>
        <w:tc>
          <w:tcPr>
            <w:tcW w:type="dxa" w:w="633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r>
              <w:rPr>
                <w:b/>
                <w:bCs/>
                <w:sz w:val="19"/>
                <w:szCs w:val="19"/>
              </w:rPr>
              <w:t xml:space="preserve">What will happen there</w:t>
            </w:r>
          </w:p>
        </w:tc>
      </w:tr>
      <w:tr>
        <w:trPr>
          <w:tblHeader w:val="false"/>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internal / money</w:t>
            </w:r>
          </w:p>
        </w:tc>
        <w:tc>
          <w:tcPr>
            <w:tcW w:type="dxa" w:w="63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Every rupee amount, held as exact whole paise — never decimals.</w:t>
            </w:r>
          </w:p>
        </w:tc>
      </w:tr>
      <w:tr>
        <w:trPr>
          <w:tblHeader w:val="false"/>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internal / period</w:t>
            </w:r>
          </w:p>
        </w:tc>
        <w:tc>
          <w:tcPr>
            <w:tcW w:type="dxa" w:w="63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Tax years, months and quarters; the year starts on 1 April.</w:t>
            </w:r>
          </w:p>
        </w:tc>
      </w:tr>
      <w:tr>
        <w:trPr>
          <w:tblHeader w:val="false"/>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internal / domain</w:t>
            </w:r>
          </w:p>
        </w:tc>
        <w:tc>
          <w:tcPr>
            <w:tcW w:type="dxa" w:w="63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The shared definitions: a figure, where it came from, a finding, a run.</w:t>
            </w:r>
          </w:p>
        </w:tc>
      </w:tr>
      <w:tr>
        <w:trPr>
          <w:tblHeader w:val="false"/>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internal / strictyaml</w:t>
            </w:r>
          </w:p>
        </w:tc>
        <w:tc>
          <w:tcPr>
            <w:tcW w:type="dxa" w:w="63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The strict reader for the data files a CA can read and edit (added in SPEC-004).</w:t>
            </w:r>
          </w:p>
        </w:tc>
      </w:tr>
      <w:tr>
        <w:trPr>
          <w:tblHeader w:val="false"/>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internal / vocab</w:t>
            </w:r>
          </w:p>
        </w:tc>
        <w:tc>
          <w:tcPr>
            <w:tcW w:type="dxa" w:w="63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The official list of figure names.</w:t>
            </w:r>
          </w:p>
        </w:tc>
      </w:tr>
      <w:tr>
        <w:trPr>
          <w:tblHeader w:val="false"/>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internal / ingest (+ adapters: json, xlsx, csv, docx, tallyxml, pdftext, fixedwidth)</w:t>
            </w:r>
          </w:p>
        </w:tc>
        <w:tc>
          <w:tcPr>
            <w:tcW w:type="dxa" w:w="63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Opening uploaded files: one reader per kind of file.</w:t>
            </w:r>
          </w:p>
        </w:tc>
      </w:tr>
      <w:tr>
        <w:trPr>
          <w:tblHeader w:val="false"/>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internal / profile</w:t>
            </w:r>
          </w:p>
        </w:tc>
        <w:tc>
          <w:tcPr>
            <w:tcW w:type="dxa" w:w="63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Recognising which format a file is and pulling out its figures.</w:t>
            </w:r>
          </w:p>
        </w:tc>
      </w:tr>
      <w:tr>
        <w:trPr>
          <w:tblHeader w:val="false"/>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internal / rules</w:t>
            </w:r>
          </w:p>
        </w:tc>
        <w:tc>
          <w:tcPr>
            <w:tcW w:type="dxa" w:w="63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Loading and checking the rule files.</w:t>
            </w:r>
          </w:p>
        </w:tc>
      </w:tr>
      <w:tr>
        <w:trPr>
          <w:tblHeader w:val="false"/>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internal / lawtable</w:t>
            </w:r>
          </w:p>
        </w:tc>
        <w:tc>
          <w:tcPr>
            <w:tcW w:type="dxa" w:w="63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Dated legal values: rates, limits, due dates.</w:t>
            </w:r>
          </w:p>
        </w:tc>
      </w:tr>
      <w:tr>
        <w:trPr>
          <w:tblHeader w:val="false"/>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internal / engine (+ checks)</w:t>
            </w:r>
          </w:p>
        </w:tc>
        <w:tc>
          <w:tcPr>
            <w:tcW w:type="dxa" w:w="63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Running the rules and the individual comparisons.</w:t>
            </w:r>
          </w:p>
        </w:tc>
      </w:tr>
      <w:tr>
        <w:trPr>
          <w:tblHeader w:val="false"/>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internal / starhost</w:t>
            </w:r>
          </w:p>
        </w:tc>
        <w:tc>
          <w:tcPr>
            <w:tcW w:type="dxa" w:w="63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The sealed box for complex rule calculations.</w:t>
            </w:r>
          </w:p>
        </w:tc>
      </w:tr>
      <w:tr>
        <w:trPr>
          <w:tblHeader w:val="false"/>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internal / findings</w:t>
            </w:r>
          </w:p>
        </w:tc>
        <w:tc>
          <w:tcPr>
            <w:tcW w:type="dxa" w:w="63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Wording findings and tracking them until resolved.</w:t>
            </w:r>
          </w:p>
        </w:tc>
      </w:tr>
      <w:tr>
        <w:trPr>
          <w:tblHeader w:val="false"/>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internal / modules (+ tieout, drafts, newheads, gst, tds, payroll)</w:t>
            </w:r>
          </w:p>
        </w:tc>
        <w:tc>
          <w:tcPr>
            <w:tcW w:type="dxa" w:w="63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One room per reconciliation area.</w:t>
            </w:r>
          </w:p>
        </w:tc>
      </w:tr>
      <w:tr>
        <w:trPr>
          <w:tblHeader w:val="false"/>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internal / store</w:t>
            </w:r>
          </w:p>
        </w:tc>
        <w:tc>
          <w:tcPr>
            <w:tcW w:type="dxa" w:w="63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Reading and writing the database.</w:t>
            </w:r>
          </w:p>
        </w:tc>
      </w:tr>
      <w:tr>
        <w:trPr>
          <w:tblHeader w:val="false"/>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internal / vault</w:t>
            </w:r>
          </w:p>
        </w:tc>
        <w:tc>
          <w:tcPr>
            <w:tcW w:type="dxa" w:w="63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Safe storage of uploaded original files.</w:t>
            </w:r>
          </w:p>
        </w:tc>
      </w:tr>
      <w:tr>
        <w:trPr>
          <w:tblHeader w:val="false"/>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internal / jobs</w:t>
            </w:r>
          </w:p>
        </w:tc>
        <w:tc>
          <w:tcPr>
            <w:tcW w:type="dxa" w:w="63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The work queue.</w:t>
            </w:r>
          </w:p>
        </w:tc>
      </w:tr>
      <w:tr>
        <w:trPr>
          <w:tblHeader w:val="false"/>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internal / ipc</w:t>
            </w:r>
          </w:p>
        </w:tc>
        <w:tc>
          <w:tcPr>
            <w:tcW w:type="dxa" w:w="63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Short messages between the server and the engine.</w:t>
            </w:r>
          </w:p>
        </w:tc>
      </w:tr>
      <w:tr>
        <w:trPr>
          <w:tblHeader w:val="false"/>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internal / pack</w:t>
            </w:r>
          </w:p>
        </w:tc>
        <w:tc>
          <w:tcPr>
            <w:tcW w:type="dxa" w:w="63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Installing signed updates from USB.</w:t>
            </w:r>
          </w:p>
        </w:tc>
      </w:tr>
      <w:tr>
        <w:trPr>
          <w:tblHeader w:val="false"/>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internal / audit</w:t>
            </w:r>
          </w:p>
        </w:tc>
        <w:tc>
          <w:tcPr>
            <w:tcW w:type="dxa" w:w="63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The permanent, tamper-evident record of who did what.</w:t>
            </w:r>
          </w:p>
        </w:tc>
      </w:tr>
      <w:tr>
        <w:trPr>
          <w:tblHeader w:val="false"/>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internal / authz, api, export</w:t>
            </w:r>
          </w:p>
        </w:tc>
        <w:tc>
          <w:tcPr>
            <w:tcW w:type="dxa" w:w="63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Server-only rooms: who may do what, screen actions, exports. The engine may never use them.</w:t>
            </w:r>
          </w:p>
        </w:tc>
      </w:tr>
    </w:tbl>
    <w:p>
      <w:pPr>
        <w:spacing w:after="120"/>
      </w:pPr>
    </w:p>
    <w:p>
      <w:pPr>
        <w:pStyle w:val="Heading2"/>
      </w:pPr>
      <w:r>
        <w:t xml:space="preserve">The security guard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4538"/>
        <w:gridCol w:w="1300"/>
      </w:tblGrid>
      <w:tr>
        <w:trPr>
          <w:tblHeader/>
        </w:trPr>
        <w:tc>
          <w:tcPr>
            <w:tcW w:type="dxa" w:w="19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r>
              <w:rPr>
                <w:b/>
                <w:bCs/>
                <w:sz w:val="19"/>
                <w:szCs w:val="19"/>
              </w:rPr>
              <w:t xml:space="preserve">File</w:t>
            </w:r>
          </w:p>
        </w:tc>
        <w:tc>
          <w:tcPr>
            <w:tcW w:type="dxa" w:w="19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r>
              <w:rPr>
                <w:b/>
                <w:bCs/>
                <w:sz w:val="19"/>
                <w:szCs w:val="19"/>
              </w:rPr>
              <w:t xml:space="preserve">Where it is</w:t>
            </w:r>
          </w:p>
        </w:tc>
        <w:tc>
          <w:tcPr>
            <w:tcW w:type="dxa" w:w="453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r>
              <w:rPr>
                <w:b/>
                <w:bCs/>
                <w:sz w:val="19"/>
                <w:szCs w:val="19"/>
              </w:rPr>
              <w:t xml:space="preserve">What happens in this file</w:t>
            </w:r>
          </w:p>
        </w:tc>
        <w:tc>
          <w:tcPr>
            <w:tcW w:type="dxa" w:w="13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r>
              <w:rPr>
                <w:b/>
                <w:bCs/>
                <w:sz w:val="19"/>
                <w:szCs w:val="19"/>
              </w:rPr>
              <w:t xml:space="preserve">Status</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19"/>
                <w:szCs w:val="19"/>
              </w:rPr>
              <w:t xml:space="preserve">archtest_test.go</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internal / archtest</w:t>
            </w:r>
          </w:p>
        </w:tc>
        <w:tc>
          <w:tcPr>
            <w:tcW w:type="dxa" w:w="45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An automatic check that runs every time anything changes. It inspects the tool exactly as it will be built for </w:t>
            </w:r>
            <w:r>
              <w:rPr>
                <w:b/>
                <w:bCs/>
                <w:sz w:val="19"/>
                <w:szCs w:val="19"/>
              </w:rPr>
              <w:t xml:space="preserve">Windows</w:t>
            </w:r>
            <w:r>
              <w:rPr>
                <w:sz w:val="19"/>
                <w:szCs w:val="19"/>
              </w:rPr>
              <w:t xml:space="preserve"> (what the firm receives) and also for Linux. It proves: (1) the engine and the updater contain </w:t>
            </w:r>
            <w:r>
              <w:rPr>
                <w:b/>
                <w:bCs/>
                <w:sz w:val="19"/>
                <w:szCs w:val="19"/>
              </w:rPr>
              <w:t xml:space="preserve">no internet or network ability</w:t>
            </w:r>
            <w:r>
              <w:rPr>
                <w:sz w:val="19"/>
                <w:szCs w:val="19"/>
              </w:rPr>
              <w:t xml:space="preserve">; (2) the engine never uses server-only parts such as logins or exports; (3) the basic building blocks (money, periods, definitions) depend only on Go's own standard toolkit, except that the definitions may also use money and periods; (4) the parts that calculate results never read the clock, wait on timers or use random numbers, so the same files always give the same report; (5) every room is listed with the guard, so a new room can never slip past it; (6) the project's official name matches, so the guard cannot quietly stop working; (7) the rooms that handle money never use decimal (floating-point) numbers, naming the exact file and line if one appears (added in SPEC-002; the definitions room was added to this check in SPEC-003). It always looks at the current files, never at an old result. Each check was proven by deliberately breaking the rule and watching it fail.</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r>
              <w:rPr>
                <w:sz w:val="19"/>
                <w:szCs w:val="19"/>
              </w:rPr>
              <w:t xml:space="preserve">Ready</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19"/>
                <w:szCs w:val="19"/>
              </w:rPr>
              <w:t xml:space="preserve">helpers_test.go</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internal / archtest</w:t>
            </w:r>
          </w:p>
        </w:tc>
        <w:tc>
          <w:tcPr>
            <w:tcW w:type="dxa" w:w="45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About 150 small checks on the security guard itself — that it recognises every kind of network part, finds the exact path to a problem, never goes round in circles, spots every way of reading the clock, classifies rooms correctly, and catches decimals without raising false alarms for the word "float" in a comment. Written mostly by the test engineer.</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r>
              <w:rPr>
                <w:sz w:val="19"/>
                <w:szCs w:val="19"/>
              </w:rPr>
              <w:t xml:space="preserve">Ready</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19"/>
                <w:szCs w:val="19"/>
              </w:rPr>
              <w:t xml:space="preserve">engine-deps-windows-amd64.txt, engine-deps-linux-amd64.txt</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build</w:t>
            </w:r>
          </w:p>
        </w:tc>
        <w:tc>
          <w:tcPr>
            <w:tcW w:type="dxa" w:w="45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The full list of everything inside the engine program, for Windows and for Linux, written by the security guard each time it runs. It is the written proof that the engine has no network code. It is created automatically and not stored in the project history; GitHub keeps a copy from each run in which the tests ran.</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Created automatically</w:t>
            </w:r>
          </w:p>
        </w:tc>
      </w:tr>
    </w:tbl>
    <w:p>
      <w:pPr>
        <w:pStyle w:val="Heading2"/>
      </w:pPr>
      <w:r>
        <w:t xml:space="preserve">Notes in the content folders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4538"/>
        <w:gridCol w:w="1300"/>
      </w:tblGrid>
      <w:tr>
        <w:trPr>
          <w:tblHeader/>
        </w:trPr>
        <w:tc>
          <w:tcPr>
            <w:tcW w:type="dxa" w:w="19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r>
              <w:rPr>
                <w:b/>
                <w:bCs/>
                <w:sz w:val="19"/>
                <w:szCs w:val="19"/>
              </w:rPr>
              <w:t xml:space="preserve">File</w:t>
            </w:r>
          </w:p>
        </w:tc>
        <w:tc>
          <w:tcPr>
            <w:tcW w:type="dxa" w:w="19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r>
              <w:rPr>
                <w:b/>
                <w:bCs/>
                <w:sz w:val="19"/>
                <w:szCs w:val="19"/>
              </w:rPr>
              <w:t xml:space="preserve">Where it is</w:t>
            </w:r>
          </w:p>
        </w:tc>
        <w:tc>
          <w:tcPr>
            <w:tcW w:type="dxa" w:w="453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r>
              <w:rPr>
                <w:b/>
                <w:bCs/>
                <w:sz w:val="19"/>
                <w:szCs w:val="19"/>
              </w:rPr>
              <w:t xml:space="preserve">What happens in this file</w:t>
            </w:r>
          </w:p>
        </w:tc>
        <w:tc>
          <w:tcPr>
            <w:tcW w:type="dxa" w:w="13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r>
              <w:rPr>
                <w:b/>
                <w:bCs/>
                <w:sz w:val="19"/>
                <w:szCs w:val="19"/>
              </w:rPr>
              <w:t xml:space="preserve">Status</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19"/>
                <w:szCs w:val="19"/>
              </w:rPr>
              <w:t xml:space="preserve">README.md</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content</w:t>
            </w:r>
          </w:p>
        </w:tc>
        <w:tc>
          <w:tcPr>
            <w:tcW w:type="dxa" w:w="45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Explains that rules, file formats, law values and the figure list will live here as readable data files that a CA can check.</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r>
              <w:rPr>
                <w:sz w:val="19"/>
                <w:szCs w:val="19"/>
              </w:rPr>
              <w:t xml:space="preserve">Ready</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19"/>
                <w:szCs w:val="19"/>
              </w:rPr>
              <w:t xml:space="preserve">README.md</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testdata</w:t>
            </w:r>
          </w:p>
        </w:tc>
        <w:tc>
          <w:tcPr>
            <w:tcW w:type="dxa" w:w="45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Explains that this folder holds only made-up test data, never real client data.</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r>
              <w:rPr>
                <w:sz w:val="19"/>
                <w:szCs w:val="19"/>
              </w:rPr>
              <w:t xml:space="preserve">Ready</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19"/>
                <w:szCs w:val="19"/>
              </w:rPr>
              <w:t xml:space="preserve">README.md</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third_party</w:t>
            </w:r>
          </w:p>
        </w:tc>
        <w:tc>
          <w:tcPr>
            <w:tcW w:type="dxa" w:w="45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Explains that bundled outside tools (such as the PDF reader) will live here with their licences.</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r>
              <w:rPr>
                <w:sz w:val="19"/>
                <w:szCs w:val="19"/>
              </w:rPr>
              <w:t xml:space="preserve">Ready</w:t>
            </w:r>
          </w:p>
        </w:tc>
      </w:tr>
    </w:tbl>
    <w:p>
      <w:pPr>
        <w:pStyle w:val="Heading1"/>
      </w:pPr>
      <w:r>
        <w:t xml:space="preserve">6. The money counter and the calendar (SPEC-002)</w:t>
      </w:r>
    </w:p>
    <w:p>
      <w:pPr>
        <w:spacing w:after="120"/>
      </w:pPr>
      <w:r>
        <w:t xml:space="preserve">SPEC-002 built the two most basic instruments of the tool. Every later part uses them to handle amounts and periods, so they are built to be exactly right and are tested at their limits.</w:t>
      </w:r>
    </w:p>
    <w:p>
      <w:pPr>
        <w:pStyle w:val="Heading2"/>
      </w:pPr>
      <w:r>
        <w:t xml:space="preserve">The money counter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4538"/>
        <w:gridCol w:w="1300"/>
      </w:tblGrid>
      <w:tr>
        <w:trPr>
          <w:tblHeader/>
        </w:trPr>
        <w:tc>
          <w:tcPr>
            <w:tcW w:type="dxa" w:w="19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r>
              <w:rPr>
                <w:b/>
                <w:bCs/>
                <w:sz w:val="19"/>
                <w:szCs w:val="19"/>
              </w:rPr>
              <w:t xml:space="preserve">File</w:t>
            </w:r>
          </w:p>
        </w:tc>
        <w:tc>
          <w:tcPr>
            <w:tcW w:type="dxa" w:w="19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r>
              <w:rPr>
                <w:b/>
                <w:bCs/>
                <w:sz w:val="19"/>
                <w:szCs w:val="19"/>
              </w:rPr>
              <w:t xml:space="preserve">Where it is</w:t>
            </w:r>
          </w:p>
        </w:tc>
        <w:tc>
          <w:tcPr>
            <w:tcW w:type="dxa" w:w="453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r>
              <w:rPr>
                <w:b/>
                <w:bCs/>
                <w:sz w:val="19"/>
                <w:szCs w:val="19"/>
              </w:rPr>
              <w:t xml:space="preserve">What happens in this file</w:t>
            </w:r>
          </w:p>
        </w:tc>
        <w:tc>
          <w:tcPr>
            <w:tcW w:type="dxa" w:w="13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r>
              <w:rPr>
                <w:b/>
                <w:bCs/>
                <w:sz w:val="19"/>
                <w:szCs w:val="19"/>
              </w:rPr>
              <w:t xml:space="preserve">Status</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19"/>
                <w:szCs w:val="19"/>
              </w:rPr>
              <w:t xml:space="preserve">money.go</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internal / money</w:t>
            </w:r>
          </w:p>
        </w:tc>
        <w:tc>
          <w:tcPr>
            <w:tcW w:type="dxa" w:w="45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Defines how every rupee amount is held: as an exact whole number of </w:t>
            </w:r>
            <w:r>
              <w:rPr>
                <w:b/>
                <w:bCs/>
                <w:sz w:val="19"/>
                <w:szCs w:val="19"/>
              </w:rPr>
              <w:t xml:space="preserve">paise</w:t>
            </w:r>
            <w:r>
              <w:rPr>
                <w:sz w:val="19"/>
                <w:szCs w:val="19"/>
              </w:rPr>
              <w:t xml:space="preserve"> (₹1 = 100 paise), never with decimals, so an amount can never drift by a paisa. Adds, subtracts and totals amounts. If a result would be too large to hold, it stops with an error instead of silently giving a wrong number.</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r>
              <w:rPr>
                <w:sz w:val="19"/>
                <w:szCs w:val="19"/>
              </w:rPr>
              <w:t xml:space="preserve">Ready</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19"/>
                <w:szCs w:val="19"/>
              </w:rPr>
              <w:t xml:space="preserve">parse.go</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internal / money</w:t>
            </w:r>
          </w:p>
        </w:tc>
        <w:tc>
          <w:tcPr>
            <w:tcW w:type="dxa" w:w="45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Reads an amount as written in a document — "1,12,450.50", "112,450.50", "(2,750.00)" for a negative, "₹500", "-0.50" — into exact paise. Refuses anything ambiguous with a plain reason, for example more than two decimal places, commas in impossible places, or "1e5". A second version reads numbers from tax-suite JSON files exactly, even values ordinary computer arithmetic gets wrong.</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r>
              <w:rPr>
                <w:sz w:val="19"/>
                <w:szCs w:val="19"/>
              </w:rPr>
              <w:t xml:space="preserve">Ready</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19"/>
                <w:szCs w:val="19"/>
              </w:rPr>
              <w:t xml:space="preserve">rate.go</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internal / money</w:t>
            </w:r>
          </w:p>
        </w:tc>
        <w:tc>
          <w:tcPr>
            <w:tcW w:type="dxa" w:w="45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Applies percentages (written in basis points: 10% = 1000) and ratios such as 7/12, and rounds the result only by a method that must be named: none (exact only), nearest paisa, nearest rupee, nearest ₹10, paisa down or paisa up. A result exactly halfway goes up (away from zero for negatives). Also reads amounts with extra decimals, but only when a rounding method is named.</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r>
              <w:rPr>
                <w:sz w:val="19"/>
                <w:szCs w:val="19"/>
              </w:rPr>
              <w:t xml:space="preserve">Ready</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19"/>
                <w:szCs w:val="19"/>
              </w:rPr>
              <w:t xml:space="preserve">format.go</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internal / money</w:t>
            </w:r>
          </w:p>
        </w:tc>
        <w:tc>
          <w:tcPr>
            <w:tcW w:type="dxa" w:w="45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Writes amounts the Indian way for findings and reports: 1,12,450 or 1,12,450.50 or -2,750. It refuses to show an amount with paise as whole rupees, so a report never shows a different figure from the one stored.</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r>
              <w:rPr>
                <w:sz w:val="19"/>
                <w:szCs w:val="19"/>
              </w:rPr>
              <w:t xml:space="preserve">Ready</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19"/>
                <w:szCs w:val="19"/>
              </w:rPr>
              <w:t xml:space="preserve">money_test.go, parse_test.go, rate_test.go, format_test.go</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internal / money</w:t>
            </w:r>
          </w:p>
        </w:tc>
        <w:tc>
          <w:tcPr>
            <w:tcW w:type="dxa" w:w="45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The proof that the money counter is exact: tests at the largest and smallest possible amounts, about 60 accepted and refused ways of writing an amount, every rounding method at exactly halfway and for negatives, and a check that more than 20,000 amounts written out and read back all come back identical.</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r>
              <w:rPr>
                <w:sz w:val="19"/>
                <w:szCs w:val="19"/>
              </w:rPr>
              <w:t xml:space="preserve">Ready</w:t>
            </w:r>
          </w:p>
        </w:tc>
      </w:tr>
    </w:tbl>
    <w:p>
      <w:pPr>
        <w:pStyle w:val="Heading2"/>
      </w:pPr>
      <w:r>
        <w:t xml:space="preserve">The calendar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4538"/>
        <w:gridCol w:w="1300"/>
      </w:tblGrid>
      <w:tr>
        <w:trPr>
          <w:tblHeader/>
        </w:trPr>
        <w:tc>
          <w:tcPr>
            <w:tcW w:type="dxa" w:w="19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r>
              <w:rPr>
                <w:b/>
                <w:bCs/>
                <w:sz w:val="19"/>
                <w:szCs w:val="19"/>
              </w:rPr>
              <w:t xml:space="preserve">File</w:t>
            </w:r>
          </w:p>
        </w:tc>
        <w:tc>
          <w:tcPr>
            <w:tcW w:type="dxa" w:w="19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r>
              <w:rPr>
                <w:b/>
                <w:bCs/>
                <w:sz w:val="19"/>
                <w:szCs w:val="19"/>
              </w:rPr>
              <w:t xml:space="preserve">Where it is</w:t>
            </w:r>
          </w:p>
        </w:tc>
        <w:tc>
          <w:tcPr>
            <w:tcW w:type="dxa" w:w="453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r>
              <w:rPr>
                <w:b/>
                <w:bCs/>
                <w:sz w:val="19"/>
                <w:szCs w:val="19"/>
              </w:rPr>
              <w:t xml:space="preserve">What happens in this file</w:t>
            </w:r>
          </w:p>
        </w:tc>
        <w:tc>
          <w:tcPr>
            <w:tcW w:type="dxa" w:w="13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r>
              <w:rPr>
                <w:b/>
                <w:bCs/>
                <w:sz w:val="19"/>
                <w:szCs w:val="19"/>
              </w:rPr>
              <w:t xml:space="preserve">Status</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19"/>
                <w:szCs w:val="19"/>
              </w:rPr>
              <w:t xml:space="preserve">period.go</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internal / period</w:t>
            </w:r>
          </w:p>
        </w:tc>
        <w:tc>
          <w:tcPr>
            <w:tcW w:type="dxa" w:w="45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Understands Indian tax periods and writes each one the same way everywhere: tax year "2025-26", the whole year "FY2025-26", a quarter "FY2025-26:Q1" (Q1 is April to June), a month "2025-04" and a date "2025-07-31". It answers which tax year a date is in (31 March 2026 is 2025-26, 1 April 2026 is 2026-27), lists the 12 months from April and the 4 quarters, finds the quarter of a month, the previous tax year, and the first and last day of any period. It knows leap years and never looks at today's date.</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r>
              <w:rPr>
                <w:sz w:val="19"/>
                <w:szCs w:val="19"/>
              </w:rPr>
              <w:t xml:space="preserve">Ready</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19"/>
                <w:szCs w:val="19"/>
              </w:rPr>
              <w:t xml:space="preserve">period_test.go</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internal / period</w:t>
            </w:r>
          </w:p>
        </w:tc>
        <w:tc>
          <w:tcPr>
            <w:tcW w:type="dxa" w:w="45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The proof: year boundaries (including 1999-00), every quarter's first and last day, the order of months, leap years, and that malformed input such as "2025-27", "FY2025-26:Q5" or "2026-02-30" is refused with a clear reason.</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r>
              <w:rPr>
                <w:sz w:val="19"/>
                <w:szCs w:val="19"/>
              </w:rPr>
              <w:t xml:space="preserve">Ready</w:t>
            </w:r>
          </w:p>
        </w:tc>
      </w:tr>
    </w:tbl>
    <w:p>
      <w:pPr>
        <w:pStyle w:val="Heading1"/>
      </w:pPr>
      <w:r>
        <w:t xml:space="preserve">7. The shared definitions (SPEC-003)</w:t>
      </w:r>
    </w:p>
    <w:p>
      <w:pPr>
        <w:spacing w:after="120"/>
      </w:pPr>
      <w:r>
        <w:t xml:space="preserve">SPEC-003 wrote down, once, the shapes of the things every part of the tool passes to every other part: a figure and where it was found, a comparison and its outcome, a finding and its status, and the record of what a run used. Nothing here reads files or a database; it only defines things, so every later part speaks the same language. It also fixes two “fingerprints” that let the tool recognise the same finding across re-runs and notice when the figures behind a finding have changed.</w:t>
      </w:r>
    </w:p>
    <w:p>
      <w:pPr>
        <w:pStyle w:val="Heading2"/>
      </w:pPr>
      <w:r>
        <w:t xml:space="preserve">The definitions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4538"/>
        <w:gridCol w:w="1300"/>
      </w:tblGrid>
      <w:tr>
        <w:trPr>
          <w:tblHeader/>
        </w:trPr>
        <w:tc>
          <w:tcPr>
            <w:tcW w:type="dxa" w:w="19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r>
              <w:rPr>
                <w:b/>
                <w:bCs/>
                <w:sz w:val="19"/>
                <w:szCs w:val="19"/>
              </w:rPr>
              <w:t xml:space="preserve">File</w:t>
            </w:r>
          </w:p>
        </w:tc>
        <w:tc>
          <w:tcPr>
            <w:tcW w:type="dxa" w:w="19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r>
              <w:rPr>
                <w:b/>
                <w:bCs/>
                <w:sz w:val="19"/>
                <w:szCs w:val="19"/>
              </w:rPr>
              <w:t xml:space="preserve">Where it is</w:t>
            </w:r>
          </w:p>
        </w:tc>
        <w:tc>
          <w:tcPr>
            <w:tcW w:type="dxa" w:w="453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r>
              <w:rPr>
                <w:b/>
                <w:bCs/>
                <w:sz w:val="19"/>
                <w:szCs w:val="19"/>
              </w:rPr>
              <w:t xml:space="preserve">What happens in this file</w:t>
            </w:r>
          </w:p>
        </w:tc>
        <w:tc>
          <w:tcPr>
            <w:tcW w:type="dxa" w:w="13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r>
              <w:rPr>
                <w:b/>
                <w:bCs/>
                <w:sz w:val="19"/>
                <w:szCs w:val="19"/>
              </w:rPr>
              <w:t xml:space="preserve">Status</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19"/>
                <w:szCs w:val="19"/>
              </w:rPr>
              <w:t xml:space="preserve">value.go</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internal / domain</w:t>
            </w:r>
          </w:p>
        </w:tc>
        <w:tc>
          <w:tcPr>
            <w:tcW w:type="dxa" w:w="45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Defines a single figure and what kind it is: an amount in paise, a count, a piece of text, a date, a yes/no, or a rate (10% written as 1000). A figure must always say which kind it is; one with no kind is refused wherever it is used.</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r>
              <w:rPr>
                <w:sz w:val="19"/>
                <w:szCs w:val="19"/>
              </w:rPr>
              <w:t xml:space="preserve">Ready</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19"/>
                <w:szCs w:val="19"/>
              </w:rPr>
              <w:t xml:space="preserve">locator.go</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internal / domain</w:t>
            </w:r>
          </w:p>
        </w:tc>
        <w:tc>
          <w:tcPr>
            <w:tcW w:type="dxa" w:w="45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Defines the “source” of a figure: which uploaded file, and exactly where inside it (a JSON path, a sheet and cell, a Word table cell, a PDF page and line). Also writes the short source text shown in findings, for example “TAR_v3.pdf p.7”, “comp_20261008.json $.business_income.allowed_depreciation” or “TB.xlsx Trial Balance!D42”.</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r>
              <w:rPr>
                <w:sz w:val="19"/>
                <w:szCs w:val="19"/>
              </w:rPr>
              <w:t xml:space="preserve">Ready</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19"/>
                <w:szCs w:val="19"/>
              </w:rPr>
              <w:t xml:space="preserve">fact.go</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internal / domain</w:t>
            </w:r>
          </w:p>
        </w:tc>
        <w:tc>
          <w:tcPr>
            <w:tcW w:type="dxa" w:w="45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Defines a fact (one figure from one document, with its official name, period, branch or GSTIN, and source) and a record (one row of a register such as an invoice, voucher, TDS challan or ECR line, which GST, TDS and payroll checks compare row by row).</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r>
              <w:rPr>
                <w:sz w:val="19"/>
                <w:szCs w:val="19"/>
              </w:rPr>
              <w:t xml:space="preserve">Ready</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19"/>
                <w:szCs w:val="19"/>
              </w:rPr>
              <w:t xml:space="preserve">evaluation.go</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internal / domain</w:t>
            </w:r>
          </w:p>
        </w:tc>
        <w:tc>
          <w:tcPr>
            <w:tcW w:type="dxa" w:w="45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Defines one check of one rule: what it was about (the period, the branch or GSTIN, and for row checks the matching key), the outcome (agrees, differs, or “cannot check” because a figure was not found), every figure compared with its label and source, the computed difference and the legal basis the rule cites. It never holds an “expected” or “correct” figure.</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r>
              <w:rPr>
                <w:sz w:val="19"/>
                <w:szCs w:val="19"/>
              </w:rPr>
              <w:t xml:space="preserve">Ready</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19"/>
                <w:szCs w:val="19"/>
              </w:rPr>
              <w:t xml:space="preserve">finding.go</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internal / domain</w:t>
            </w:r>
          </w:p>
        </w:tc>
        <w:tc>
          <w:tcPr>
            <w:tcW w:type="dxa" w:w="45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Defines a finding (a check that showed a difference) and the eight statuses it can have, from Open through Decided (Fix / Not an issue / Ask client), Awaiting re-check, Resolved, Reopened and Carried forward. The proposed ninth status, Withdrawn, is left out until it is approved. When a finding moves between statuses is decided in SPEC-025.</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r>
              <w:rPr>
                <w:sz w:val="19"/>
                <w:szCs w:val="19"/>
              </w:rPr>
              <w:t xml:space="preserve">Ready</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19"/>
                <w:szCs w:val="19"/>
              </w:rPr>
              <w:t xml:space="preserve">snapshot.go</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internal / domain</w:t>
            </w:r>
          </w:p>
        </w:tc>
        <w:tc>
          <w:tcPr>
            <w:tcW w:type="dxa" w:w="45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Defines the record of everything a run used: engine version, figure-list version, each document version and the format that read it, each rule version and each legal-table row. This lets the firm explain years later exactly why a finding appeared.</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r>
              <w:rPr>
                <w:sz w:val="19"/>
                <w:szCs w:val="19"/>
              </w:rPr>
              <w:t xml:space="preserve">Ready</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19"/>
                <w:szCs w:val="19"/>
              </w:rPr>
              <w:t xml:space="preserve">identity.go</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internal / domain</w:t>
            </w:r>
          </w:p>
        </w:tc>
        <w:tc>
          <w:tcPr>
            <w:tcW w:type="dxa" w:w="45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Makes the two fingerprints. The finding ID comes from the rule, the client engagement, the period, the branch or GSTIN and the matching key, and nothing else, so re-running or editing a rule updates the same finding instead of creating a duplicate. The value fingerprint comes from the figures alone, not from page numbers or labels, so a finding marked “Not an issue” stays closed when the same figure merely moves to another page in a new draft, and reopens if any figure changes by even one paisa.</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r>
              <w:rPr>
                <w:sz w:val="19"/>
                <w:szCs w:val="19"/>
              </w:rPr>
              <w:t xml:space="preserve">Ready</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19"/>
                <w:szCs w:val="19"/>
              </w:rPr>
              <w:t xml:space="preserve">canonical.go</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internal / domain</w:t>
            </w:r>
          </w:p>
        </w:tc>
        <w:tc>
          <w:tcPr>
            <w:tcW w:type="dxa" w:w="45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Writes a check result or a finding in one fixed text form (always the same order, no spare spaces, whole numbers only). The same result therefore always produces exactly the same text, which is how later tests prove that the same files give the same report. Damaged text that could not be written faithfully is refused rather than altered.</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r>
              <w:rPr>
                <w:sz w:val="19"/>
                <w:szCs w:val="19"/>
              </w:rPr>
              <w:t xml:space="preserve">Ready</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19"/>
                <w:szCs w:val="19"/>
              </w:rPr>
              <w:t xml:space="preserve">identity_test.go, canonical_test.go, locator_test.go</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internal / domain</w:t>
            </w:r>
          </w:p>
        </w:tc>
        <w:tc>
          <w:tcPr>
            <w:tcW w:type="dxa" w:w="45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The proof: the finding ID stays the same when only the rule version, run or source changes and changes when the rule, client, period, branch or matching key changes; the value fingerprint changes when any figure changes and not when only sources or labels change; the same result built in different orders is written identically, down to the byte; and the source text matches the examples in the requirements.</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r>
              <w:rPr>
                <w:sz w:val="19"/>
                <w:szCs w:val="19"/>
              </w:rPr>
              <w:t xml:space="preserve">Ready</w:t>
            </w:r>
          </w:p>
        </w:tc>
      </w:tr>
    </w:tbl>
    <w:p>
      <w:pPr>
        <w:pStyle w:val="Heading1"/>
      </w:pPr>
      <w:r>
        <w:t xml:space="preserve">8. The list of figure names (SPEC-004)</w:t>
      </w:r>
    </w:p>
    <w:p>
      <w:pPr>
        <w:spacing w:after="120"/>
      </w:pPr>
      <w:r>
        <w:t xml:space="preserve">SPEC-004 created the official list of figure names, the shared dictionary between the files the tool reads and the rules it runs. Each figure the tool takes from a document must be given a name from this list, and each rule may only ask for names on this list. When a software vendor changes its file format, only the reading instructions change; when the law changes, only the rules change; the names in the middle stay put. The list is kept in plain text files a CA can read, and a readable document is produced from it automatically.</w:t>
      </w:r>
    </w:p>
    <w:p>
      <w:pPr>
        <w:pStyle w:val="Heading2"/>
      </w:pPr>
      <w:r>
        <w:t xml:space="preserve">The list itself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4538"/>
        <w:gridCol w:w="1300"/>
      </w:tblGrid>
      <w:tr>
        <w:trPr>
          <w:tblHeader/>
        </w:trPr>
        <w:tc>
          <w:tcPr>
            <w:tcW w:type="dxa" w:w="19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r>
              <w:rPr>
                <w:b/>
                <w:bCs/>
                <w:sz w:val="19"/>
                <w:szCs w:val="19"/>
              </w:rPr>
              <w:t xml:space="preserve">File</w:t>
            </w:r>
          </w:p>
        </w:tc>
        <w:tc>
          <w:tcPr>
            <w:tcW w:type="dxa" w:w="19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r>
              <w:rPr>
                <w:b/>
                <w:bCs/>
                <w:sz w:val="19"/>
                <w:szCs w:val="19"/>
              </w:rPr>
              <w:t xml:space="preserve">Where it is</w:t>
            </w:r>
          </w:p>
        </w:tc>
        <w:tc>
          <w:tcPr>
            <w:tcW w:type="dxa" w:w="453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r>
              <w:rPr>
                <w:b/>
                <w:bCs/>
                <w:sz w:val="19"/>
                <w:szCs w:val="19"/>
              </w:rPr>
              <w:t xml:space="preserve">What happens in this file</w:t>
            </w:r>
          </w:p>
        </w:tc>
        <w:tc>
          <w:tcPr>
            <w:tcW w:type="dxa" w:w="13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r>
              <w:rPr>
                <w:b/>
                <w:bCs/>
                <w:sz w:val="19"/>
                <w:szCs w:val="19"/>
              </w:rPr>
              <w:t xml:space="preserve">Status</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19"/>
                <w:szCs w:val="19"/>
              </w:rPr>
              <w:t xml:space="preserve">facts.yaml</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content / vocabulary</w:t>
            </w:r>
          </w:p>
        </w:tc>
        <w:tc>
          <w:tcPr>
            <w:tcW w:type="dxa" w:w="45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The list of figure names. It first lists the kinds of document the tool knows (for now the computation of income and the tax audit report), each with the short word every figure name from it starts with (for example “tar.” for the tax audit report). Then it lists each figure: its name (such as “tar.depreciation_schedule.total”), whether it is an amount, a count, text, a date, a yes/no or a rate, whether it is reported for the year, a quarter or a month, which document it belongs to, a one-line meaning, and the list version that added it. A name is never given a new meaning: a new meaning gets a new name and the old one is marked as retired. It starts with the three depreciation figures the first end-to-end check needs. The file carries a version number that must go up with every change.</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r>
              <w:rPr>
                <w:sz w:val="19"/>
                <w:szCs w:val="19"/>
              </w:rPr>
              <w:t xml:space="preserve">Ready</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19"/>
                <w:szCs w:val="19"/>
              </w:rPr>
              <w:t xml:space="preserve">records.yaml</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content / vocabulary</w:t>
            </w:r>
          </w:p>
        </w:tc>
        <w:tc>
          <w:tcPr>
            <w:tcW w:type="dxa" w:w="45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The list of row types, for registers that are compared line by line (invoices, vouchers, TDS challans, ECR lines): for each, the columns that identify one row, the amount columns and the other columns. It is empty for now; GST, TDS, payroll and Tally rows are added by later SPECs. It carries the same version number as facts.yaml.</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r>
              <w:rPr>
                <w:sz w:val="19"/>
                <w:szCs w:val="19"/>
              </w:rPr>
              <w:t xml:space="preserve">Ready</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19"/>
                <w:szCs w:val="19"/>
              </w:rPr>
              <w:t xml:space="preserve">fact-vocabulary.md</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docs</w:t>
            </w:r>
          </w:p>
        </w:tc>
        <w:tc>
          <w:tcPr>
            <w:tcW w:type="dxa" w:w="45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The readable version of the two lists, grouped by document, produced automatically. It shows the list version and a fingerprint of its contents. Nobody edits it by hand; an automatic check fails if it is out of date, and also if the list was changed without raising its version number.</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r>
              <w:rPr>
                <w:sz w:val="19"/>
                <w:szCs w:val="19"/>
              </w:rPr>
              <w:t xml:space="preserve">Ready</w:t>
            </w:r>
          </w:p>
        </w:tc>
      </w:tr>
    </w:tbl>
    <w:p>
      <w:pPr>
        <w:pStyle w:val="Heading2"/>
      </w:pPr>
      <w:r>
        <w:t xml:space="preserve">The program parts that read the 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4538"/>
        <w:gridCol w:w="1300"/>
      </w:tblGrid>
      <w:tr>
        <w:trPr>
          <w:tblHeader/>
        </w:trPr>
        <w:tc>
          <w:tcPr>
            <w:tcW w:type="dxa" w:w="19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r>
              <w:rPr>
                <w:b/>
                <w:bCs/>
                <w:sz w:val="19"/>
                <w:szCs w:val="19"/>
              </w:rPr>
              <w:t xml:space="preserve">File</w:t>
            </w:r>
          </w:p>
        </w:tc>
        <w:tc>
          <w:tcPr>
            <w:tcW w:type="dxa" w:w="19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r>
              <w:rPr>
                <w:b/>
                <w:bCs/>
                <w:sz w:val="19"/>
                <w:szCs w:val="19"/>
              </w:rPr>
              <w:t xml:space="preserve">Where it is</w:t>
            </w:r>
          </w:p>
        </w:tc>
        <w:tc>
          <w:tcPr>
            <w:tcW w:type="dxa" w:w="453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r>
              <w:rPr>
                <w:b/>
                <w:bCs/>
                <w:sz w:val="19"/>
                <w:szCs w:val="19"/>
              </w:rPr>
              <w:t xml:space="preserve">What happens in this file</w:t>
            </w:r>
          </w:p>
        </w:tc>
        <w:tc>
          <w:tcPr>
            <w:tcW w:type="dxa" w:w="13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r>
              <w:rPr>
                <w:b/>
                <w:bCs/>
                <w:sz w:val="19"/>
                <w:szCs w:val="19"/>
              </w:rPr>
              <w:t xml:space="preserve">Status</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19"/>
                <w:szCs w:val="19"/>
              </w:rPr>
              <w:t xml:space="preserve">strictyaml.go</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internal / strictyaml</w:t>
            </w:r>
          </w:p>
        </w:tc>
        <w:tc>
          <w:tcPr>
            <w:tcW w:type="dxa" w:w="45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The strict reader for every data file the CA can read and edit (the figure list now; formats, rules and legal tables later). It refuses anything that could be read in two ways: text not in quotes (so a tax year like 2025-26 can never be taken as a sum), “yes” or “on” where only true or false is allowed, numbers written in unusual forms, misspelled or repeated headings, shortcuts that copy one part of a file into another, and more than one document in a file. It reports every problem at once, each with its file and line, in plain words.</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r>
              <w:rPr>
                <w:sz w:val="19"/>
                <w:szCs w:val="19"/>
              </w:rPr>
              <w:t xml:space="preserve">Ready</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19"/>
                <w:szCs w:val="19"/>
              </w:rPr>
              <w:t xml:space="preserve">strictyaml_test.go</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internal / strictyaml</w:t>
            </w:r>
          </w:p>
        </w:tc>
        <w:tc>
          <w:tcPr>
            <w:tcW w:type="dxa" w:w="45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The proof: a correct file is read exactly, and each of about 27 kinds of mistake is refused at the right line with a clear message.</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r>
              <w:rPr>
                <w:sz w:val="19"/>
                <w:szCs w:val="19"/>
              </w:rPr>
              <w:t xml:space="preserve">Ready</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19"/>
                <w:szCs w:val="19"/>
              </w:rPr>
              <w:t xml:space="preserve">vocab.go</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internal / vocab</w:t>
            </w:r>
          </w:p>
        </w:tc>
        <w:tc>
          <w:tcPr>
            <w:tcW w:type="dxa" w:w="45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Holds the loaded list and answers questions from the rest of the tool: is this a known figure name, what kind of figure is it, which document does it belong to, is this a known row type, which documents exist, and what is the list version (recorded with every run so a result can be explained later). Everything is answered in alphabetical order so results never depend on chance.</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r>
              <w:rPr>
                <w:sz w:val="19"/>
                <w:szCs w:val="19"/>
              </w:rPr>
              <w:t xml:space="preserve">Ready</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19"/>
                <w:szCs w:val="19"/>
              </w:rPr>
              <w:t xml:space="preserve">load.go</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internal / vocab</w:t>
            </w:r>
          </w:p>
        </w:tc>
        <w:tc>
          <w:tcPr>
            <w:tcW w:type="dxa" w:w="45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Reads the two list files through the strict reader and checks every entry: names written correctly and only once, names starting with their document’s short word, known kinds and periods, a meaning for every entry, sensible version numbers, the same version in both files, and for row types, identifying columns that really exist and no column listed twice. Every problem is reported with file and line.</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r>
              <w:rPr>
                <w:sz w:val="19"/>
                <w:szCs w:val="19"/>
              </w:rPr>
              <w:t xml:space="preserve">Ready</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19"/>
                <w:szCs w:val="19"/>
              </w:rPr>
              <w:t xml:space="preserve">markdown.go</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internal / vocab</w:t>
            </w:r>
          </w:p>
        </w:tc>
        <w:tc>
          <w:tcPr>
            <w:tcW w:type="dxa" w:w="45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Writes the readable document (fact-vocabulary.md) from the list, and compares a saved copy with what it should be. If the list changed but its version did not, it says to raise the version; if only the document is stale, it says to regenerate it.</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r>
              <w:rPr>
                <w:sz w:val="19"/>
                <w:szCs w:val="19"/>
              </w:rPr>
              <w:t xml:space="preserve">Ready</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19"/>
                <w:szCs w:val="19"/>
              </w:rPr>
              <w:t xml:space="preserve">vocab_test.go</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internal / vocab</w:t>
            </w:r>
          </w:p>
        </w:tc>
        <w:tc>
          <w:tcPr>
            <w:tcW w:type="dxa" w:w="45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The proof: about 25 kinds of mistake in the list are each refused at the right file and line; the shipped list loads and contains the three depreciation figures; the saved document matches the list exactly; and a change without a version increase is caught. Comments and the order of entries do not count as changes.</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r>
              <w:rPr>
                <w:sz w:val="19"/>
                <w:szCs w:val="19"/>
              </w:rPr>
              <w:t xml:space="preserve">Ready</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19"/>
                <w:szCs w:val="19"/>
              </w:rPr>
              <w:t xml:space="preserve">vocabdoc.go</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cmd / recon-dev</w:t>
            </w:r>
          </w:p>
        </w:tc>
        <w:tc>
          <w:tcPr>
            <w:tcW w:type="dxa" w:w="45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The developer tool “vocab-doc”. It checks the list and writes the readable document. It refuses to write it if the list changed but its version number did not go up.</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r>
              <w:rPr>
                <w:sz w:val="19"/>
                <w:szCs w:val="19"/>
              </w:rPr>
              <w:t xml:space="preserve">Ready</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19"/>
                <w:szCs w:val="19"/>
              </w:rPr>
              <w:t xml:space="preserve">go.sum</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Main project folder</w:t>
            </w:r>
          </w:p>
        </w:tc>
        <w:tc>
          <w:tcPr>
            <w:tcW w:type="dxa" w:w="45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The fingerprints of the outside building blocks listed in go.mod (for now only the YAML reader), so a tampered or swapped copy is refused when the tool is built.</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r>
              <w:rPr>
                <w:sz w:val="19"/>
                <w:szCs w:val="19"/>
              </w:rPr>
              <w:t xml:space="preserve">Ready</w:t>
            </w:r>
          </w:p>
        </w:tc>
      </w:tr>
    </w:tbl>
    <w:p>
      <w:pPr>
        <w:pStyle w:val="Heading1"/>
      </w:pPr>
      <w:r>
        <w:t xml:space="preserve">9. Files that must never be shared</w:t>
      </w:r>
    </w:p>
    <w:p>
      <w:pPr>
        <w:spacing w:after="120"/>
      </w:pPr>
      <w:r>
        <w:t xml:space="preserve">The "never store" list (.gitignore, section 5) enforces this automatically for the project history.</w:t>
      </w:r>
    </w:p>
    <w:p>
      <w:pPr>
        <w:pStyle w:val="ListParagraph"/>
        <w:numPr>
          <w:ilvl w:val="0"/>
          <w:numId w:val="2"/>
        </w:numPr>
        <w:spacing w:after="60"/>
      </w:pPr>
      <w:r>
        <w:rPr>
          <w:b/>
          <w:bCs/>
        </w:rPr>
        <w:t xml:space="preserve">Word and Excel lock files</w:t>
      </w:r>
      <w:r>
        <w:t xml:space="preserve"> (names starting with ~$, for example ~$con-Tool-Understanding-and-Gaps.docx) — temporary files Office creates while a document is open. They are not real documents and can be deleted once the document is closed.</w:t>
      </w:r>
    </w:p>
    <w:p>
      <w:pPr>
        <w:pStyle w:val="ListParagraph"/>
        <w:numPr>
          <w:ilvl w:val="0"/>
          <w:numId w:val="2"/>
        </w:numPr>
        <w:spacing w:after="60"/>
      </w:pPr>
      <w:r>
        <w:rPr>
          <w:b/>
          <w:bCs/>
        </w:rPr>
        <w:t xml:space="preserve">Any real client data</w:t>
      </w:r>
      <w:r>
        <w:t xml:space="preserve"> — real samples from the firm are kept only on the office computer, never in the project.</w:t>
      </w:r>
    </w:p>
    <w:p>
      <w:pPr>
        <w:spacing w:after="120"/>
      </w:pPr>
    </w:p>
    <w:p>
      <w:pPr>
        <w:spacing w:after="120"/>
      </w:pPr>
      <w:r>
        <w:t xml:space="preserve">This list will grow as the tool is built (for example the database and its keys).</w:t>
      </w:r>
    </w:p>
    <w:p>
      <w:pPr>
        <w:pStyle w:val="Heading1"/>
      </w:pPr>
      <w:r>
        <w:t xml:space="preserve">10. How this guide is kept up to date</w:t>
      </w:r>
    </w:p>
    <w:p>
      <w:pPr>
        <w:pStyle w:val="ListParagraph"/>
        <w:numPr>
          <w:ilvl w:val="0"/>
          <w:numId w:val="2"/>
        </w:numPr>
        <w:spacing w:after="60"/>
      </w:pPr>
      <w:r>
        <w:t xml:space="preserve">When a SPEC is completed, every file it created is added to this guide, in the right section, before the SPEC is marked Done.</w:t>
      </w:r>
    </w:p>
    <w:p>
      <w:pPr>
        <w:pStyle w:val="ListParagraph"/>
        <w:numPr>
          <w:ilvl w:val="0"/>
          <w:numId w:val="2"/>
        </w:numPr>
        <w:spacing w:after="60"/>
      </w:pPr>
      <w:r>
        <w:t xml:space="preserve">Each entry says, in plain language, what happens in that file and why it matters to the firm — written so that someone who has never seen the code understands it.</w:t>
      </w:r>
    </w:p>
    <w:p>
      <w:pPr>
        <w:pStyle w:val="ListParagraph"/>
        <w:numPr>
          <w:ilvl w:val="0"/>
          <w:numId w:val="2"/>
        </w:numPr>
        <w:spacing w:after="60"/>
      </w:pPr>
      <w:r>
        <w:t xml:space="preserve">When a file is renamed, moved or removed, its entry is changed in the same piece of work.</w:t>
      </w:r>
    </w:p>
    <w:p>
      <w:pPr>
        <w:pStyle w:val="ListParagraph"/>
        <w:numPr>
          <w:ilvl w:val="0"/>
          <w:numId w:val="2"/>
        </w:numPr>
        <w:spacing w:after="60"/>
      </w:pPr>
      <w:r>
        <w:t xml:space="preserve">Files that repeat (one per rule, one per file format) are described once by pattern rather than listed one by one.</w:t>
      </w:r>
    </w:p>
    <w:p>
      <w:pPr>
        <w:pStyle w:val="ListParagraph"/>
        <w:numPr>
          <w:ilvl w:val="0"/>
          <w:numId w:val="2"/>
        </w:numPr>
        <w:spacing w:after="60"/>
      </w:pPr>
      <w:r>
        <w:t xml:space="preserve">New sections are added as needed, for example "Reading uploaded files", "Rules and checks", "Screens staff see", "Security and backup", "Testing".</w:t>
      </w:r>
    </w:p>
    <w:sectPr>
      <w:footerReference w:type="default" r:id="rId6"/>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Tool 1 – File guide   |   Page </w:t>
    </w:r>
    <w:r>
      <w:rPr>
        <w:color w:val="7F7F7F"/>
        <w:sz w:val="18"/>
        <w:szCs w:val="18"/>
      </w:rPr>
      <w:fldChar w:fldCharType="begin"/>
      <w:instrText xml:space="preserve">PAGE</w:instrText>
      <w:fldChar w:fldCharType="separate"/>
      <w:fldChar w:fldCharType="end"/>
    </w:r>
    <w:r>
      <w:rPr>
        <w:color w:val="7F7F7F"/>
        <w:sz w:val="18"/>
        <w:szCs w:val="18"/>
      </w:rPr>
      <w:t xml:space="preserve"> of </w:t>
    </w:r>
    <w:r>
      <w:rPr>
        <w:color w:val="7F7F7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360" w:after="160"/>
      <w:outlineLvl w:val="0"/>
    </w:pPr>
    <w:rPr>
      <w:rFonts w:ascii="Arial" w:cs="Arial" w:eastAsia="Arial" w:hAnsi="Arial"/>
      <w:b/>
      <w:bCs/>
      <w:color w:val="1F4E79"/>
      <w:sz w:val="32"/>
      <w:szCs w:val="32"/>
    </w:rPr>
  </w:style>
  <w:style w:type="paragraph" w:styleId="Heading2">
    <w:name w:val="Heading 2"/>
    <w:basedOn w:val="Normal"/>
    <w:next w:val="Normal"/>
    <w:qFormat/>
    <w:pPr>
      <w:keepNext/>
      <w:spacing w:before="240" w:after="12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Tool 1 – Plain-language guide to every file</dc:title>
  <dc:creator>Tool 1 project</dc:creator>
  <cp:lastModifiedBy>Un-named</cp:lastModifiedBy>
  <cp:revision>1</cp:revision>
  <dcterms:created xsi:type="dcterms:W3CDTF">2026-10-13T10:01:27.992Z</dcterms:created>
  <dcterms:modified xsi:type="dcterms:W3CDTF">2026-10-13T10:01:27.993Z</dcterms:modified>
</cp:coreProperties>
</file>

<file path=docProps/custom.xml><?xml version="1.0" encoding="utf-8"?>
<Properties xmlns="http://schemas.openxmlformats.org/officeDocument/2006/custom-properties" xmlns:vt="http://schemas.openxmlformats.org/officeDocument/2006/docPropsVTypes"/>
</file>