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9488"/>
          <w:sz w:val="56"/>
        </w:rPr>
        <w:t>ENIGMA Project: Aims &amp; Phases Overview</w:t>
      </w:r>
    </w:p>
    <w:p>
      <w:pPr>
        <w:jc w:val="center"/>
      </w:pPr>
    </w:p>
    <w:p>
      <w:pPr>
        <w:jc w:val="center"/>
      </w:pPr>
      <w:r>
        <w:rPr>
          <w:i/>
          <w:color w:val="0E7C86"/>
          <w:sz w:val="28"/>
        </w:rPr>
        <w:t>Stochastic Gene Expression Noise from Asymmetric Operator Architecture</w:t>
        <w:br/>
        <w:t>in the Mce3R Regulon of Mycobacterium tuberculosis</w:t>
      </w:r>
    </w:p>
    <w:p/>
    <w:p/>
    <w:p/>
    <w:p/>
    <w:p/>
    <w:p/>
    <w:p>
      <w:pPr>
        <w:jc w:val="center"/>
      </w:pPr>
      <w:r>
        <w:rPr>
          <w:color w:val="666666"/>
          <w:sz w:val="22"/>
        </w:rPr>
        <w:t>ENIGMA: Expression Noise Investigation in Gene-regulatory Mechanisms and Architecture</w:t>
      </w:r>
    </w:p>
    <w:p>
      <w:r>
        <w:br w:type="page"/>
      </w:r>
    </w:p>
    <w:p>
      <w:pPr>
        <w:pStyle w:val="Heading1"/>
      </w:pPr>
      <w:r>
        <w:rPr>
          <w:color w:val="0D9488"/>
          <w:sz w:val="36"/>
        </w:rPr>
        <w:t>Section 1: What Is This Project About?</w:t>
      </w:r>
    </w:p>
    <w:p>
      <w:r>
        <w:rPr>
          <w:sz w:val="22"/>
        </w:rPr>
        <w:t>Tuberculosis kills over 1.2 million people per year (WHO Global TB Report, 2024). The TB bacterium (Mycobacterium tuberculosis) can survive antibiotic treatment by entering a dormant “persister” state. This project investigates whether the architecture of a specific gene regulatory switch — the Mce3R operator — is designed to generate the molecular noise that drives persistence. The operator has two binding sites with a 20-fold affinity difference (K₄ = 2.4 nM vs 49 nM), and this project asks: does that asymmetry create more expression noise, and does that noise help TB survive drugs?</w:t>
      </w:r>
    </w:p>
    <w:p>
      <w:r>
        <w:br w:type="page"/>
      </w:r>
    </w:p>
    <w:p>
      <w:pPr>
        <w:pStyle w:val="Heading1"/>
      </w:pPr>
      <w:r>
        <w:rPr>
          <w:color w:val="0D9488"/>
          <w:sz w:val="36"/>
        </w:rPr>
        <w:t>Section 2: The Three Aims</w:t>
      </w:r>
    </w:p>
    <w:p>
      <w:pPr>
        <w:pStyle w:val="Heading2"/>
      </w:pPr>
      <w:r>
        <w:rPr>
          <w:color w:val="0E7C86"/>
          <w:sz w:val="28"/>
        </w:rPr>
        <w:t>Aim 1: Discover and Validate Conserved Mce3R Binding Sites</w:t>
      </w:r>
    </w:p>
    <w:p>
      <w:r>
        <w:rPr>
          <w:b/>
          <w:sz w:val="22"/>
        </w:rPr>
        <w:t xml:space="preserve">Associated Phase: </w:t>
      </w:r>
      <w:r>
        <w:rPr>
          <w:sz w:val="22"/>
        </w:rPr>
        <w:t>Phase 1 (Motif Discovery)</w:t>
      </w:r>
    </w:p>
    <w:p>
      <w:r>
        <w:rPr>
          <w:b/>
          <w:sz w:val="22"/>
        </w:rPr>
        <w:t xml:space="preserve">What we did: </w:t>
      </w:r>
      <w:r>
        <w:rPr>
          <w:sz w:val="22"/>
        </w:rPr>
        <w:t>Used computational tools (MEME and FIMO) to find where the Mce3R protein binds to DNA, without being told the answer in advance. We compared DNA sequences from three related bacterial species (M. tuberculosis, M. bovis, M. marinum) to find conserved patterns, then scanned the entire TB genome for all possible binding sites.</w:t>
      </w:r>
    </w:p>
    <w:p>
      <w:r>
        <w:rPr>
          <w:b/>
          <w:sz w:val="22"/>
        </w:rPr>
        <w:t>Key results:</w:t>
      </w:r>
      <w:r>
        <w:rPr>
          <w:sz w:val="22"/>
        </w:rPr>
      </w:r>
    </w:p>
    <w:p>
      <w:pPr>
        <w:pStyle w:val="ListBullet"/>
        <w:ind w:left="720"/>
      </w:pPr>
      <w:r>
        <w:rPr>
          <w:sz w:val="22"/>
        </w:rPr>
        <w:t>Discovered the binding motif de novo (from scratch)</w:t>
      </w:r>
    </w:p>
    <w:p>
      <w:pPr>
        <w:pStyle w:val="ListBullet"/>
        <w:ind w:left="720"/>
      </w:pPr>
      <w:r>
        <w:rPr>
          <w:sz w:val="22"/>
        </w:rPr>
        <w:t>Top FIMO hit (p = 1.1 × 10⁻¹¹) matched the known operator exactly — validating the approach</w:t>
      </w:r>
    </w:p>
    <w:p>
      <w:pPr>
        <w:pStyle w:val="ListBullet"/>
        <w:ind w:left="720"/>
      </w:pPr>
      <w:r>
        <w:rPr>
          <w:sz w:val="22"/>
        </w:rPr>
        <w:t>Found 1,442 candidate binding sites genome-wide, including near tgs1 (dormancy), espC (virulence), and mbtG (iron acquisition)</w:t>
      </w:r>
    </w:p>
    <w:p>
      <w:pPr>
        <w:pStyle w:val="ListBullet"/>
        <w:ind w:left="720"/>
      </w:pPr>
      <w:r>
        <w:rPr>
          <w:sz w:val="22"/>
        </w:rPr>
        <w:t>Conservation &gt;80% across all three species</w:t>
      </w:r>
    </w:p>
    <w:p>
      <w:r>
        <w:rPr>
          <w:b/>
          <w:sz w:val="22"/>
        </w:rPr>
        <w:t>Key papers:</w:t>
      </w:r>
      <w:r>
        <w:rPr>
          <w:sz w:val="22"/>
        </w:rPr>
      </w:r>
    </w:p>
    <w:p>
      <w:pPr>
        <w:pStyle w:val="ListBullet"/>
        <w:ind w:left="720"/>
      </w:pPr>
      <w:r>
        <w:rPr>
          <w:b/>
          <w:sz w:val="22"/>
        </w:rPr>
        <w:t xml:space="preserve">[1] </w:t>
      </w:r>
      <w:r>
        <w:rPr>
          <w:sz w:val="22"/>
        </w:rPr>
        <w:t>Panagoda, Balázsi &amp; Sampson (2024). "Cryo-EM structure of Mce3R bound to the mce3 operator." ACS Chemical Biology, 19:2580–2592. [PDB 9B7Y] — Source of the operator sequence, K₄ values, and cryo-EM structure</w:t>
      </w:r>
    </w:p>
    <w:p>
      <w:pPr>
        <w:pStyle w:val="ListBullet"/>
        <w:ind w:left="720"/>
      </w:pPr>
      <w:r>
        <w:rPr>
          <w:b/>
          <w:sz w:val="22"/>
        </w:rPr>
        <w:t xml:space="preserve">[2] </w:t>
      </w:r>
      <w:r>
        <w:rPr>
          <w:sz w:val="22"/>
        </w:rPr>
        <w:t>Bailey et al. (2009). "MEME Suite: tools for motif discovery and searching." Nucleic Acids Research, 37:W202–W208. — The MEME algorithm used for de novo motif discovery</w:t>
      </w:r>
    </w:p>
    <w:p>
      <w:pPr>
        <w:pStyle w:val="ListBullet"/>
        <w:ind w:left="720"/>
      </w:pPr>
      <w:r>
        <w:rPr>
          <w:b/>
          <w:sz w:val="22"/>
        </w:rPr>
        <w:t xml:space="preserve">[3] </w:t>
      </w:r>
      <w:r>
        <w:rPr>
          <w:sz w:val="22"/>
        </w:rPr>
        <w:t>Grant et al. (2011). "FIMO: scanning for occurrences of a given motif." Bioinformatics, 27(7):1017–1018. — The FIMO tool used for genome-wide scanning</w:t>
      </w:r>
    </w:p>
    <w:p>
      <w:pPr>
        <w:pStyle w:val="ListBullet"/>
        <w:ind w:left="720"/>
      </w:pPr>
      <w:r>
        <w:rPr>
          <w:b/>
          <w:sz w:val="22"/>
        </w:rPr>
        <w:t xml:space="preserve">[4] </w:t>
      </w:r>
      <w:r>
        <w:rPr>
          <w:sz w:val="22"/>
        </w:rPr>
        <w:t>Santangelo et al. (2002). "Characterization of Mce3R." Microbiology, 148:2997–3006. — Original identification of the Mce3R regulon</w:t>
      </w:r>
    </w:p>
    <w:p>
      <w:r>
        <w:br w:type="page"/>
      </w:r>
    </w:p>
    <w:p>
      <w:pPr>
        <w:pStyle w:val="Heading2"/>
      </w:pPr>
      <w:r>
        <w:rPr>
          <w:color w:val="0E7C86"/>
          <w:sz w:val="28"/>
        </w:rPr>
        <w:t>Aim 2: Model How Operator Architecture Controls Repression</w:t>
      </w:r>
    </w:p>
    <w:p>
      <w:r>
        <w:rPr>
          <w:b/>
          <w:sz w:val="22"/>
        </w:rPr>
        <w:t xml:space="preserve">Associated Phases: </w:t>
      </w:r>
      <w:r>
        <w:rPr>
          <w:sz w:val="22"/>
        </w:rPr>
        <w:t>Phase 2 (Gillespie Simulation) + Phase 5 (Thermodynamic Calibration)</w:t>
      </w:r>
    </w:p>
    <w:p>
      <w:r>
        <w:rPr>
          <w:b/>
          <w:sz w:val="22"/>
        </w:rPr>
        <w:t xml:space="preserve">What we did: </w:t>
      </w:r>
      <w:r>
        <w:rPr>
          <w:sz w:val="22"/>
        </w:rPr>
        <w:t>Built two computational models of how the Mce3R operator works.</w:t>
      </w:r>
    </w:p>
    <w:p>
      <w:r>
        <w:rPr>
          <w:b/>
          <w:sz w:val="22"/>
        </w:rPr>
        <w:t>Phase 2 — Gillespie Stochastic Simulation:</w:t>
      </w:r>
      <w:r>
        <w:rPr>
          <w:sz w:val="22"/>
        </w:rPr>
      </w:r>
    </w:p>
    <w:p>
      <w:r>
        <w:rPr>
          <w:sz w:val="22"/>
        </w:rPr>
        <w:t>Built a 4-state operator model (unbound, strong-only, weak-only, both-bound) with 12 chemical reactions. Used the Gillespie algorithm (SSA) to simulate 50,000 individual cells, each making random molecular decisions. Compared 4 conditions: (A) asymmetric native operator, (B) symmetric operator, (C) single-site operator, (D) no regulation.</w:t>
      </w:r>
    </w:p>
    <w:p>
      <w:r>
        <w:rPr>
          <w:b/>
          <w:sz w:val="22"/>
        </w:rPr>
        <w:t>Phase 5 — Thermodynamic Calibration:</w:t>
      </w:r>
      <w:r>
        <w:rPr>
          <w:sz w:val="22"/>
        </w:rPr>
      </w:r>
    </w:p>
    <w:p>
      <w:r>
        <w:rPr>
          <w:sz w:val="22"/>
        </w:rPr>
        <w:t>Calibrated the simulation with real physics. Used the Berg–von Hippel biophysical model to convert PWM scores into binding energies. Built a statistical mechanics partition function for the 4-state operator. Used MCMC (Markov Chain Monte Carlo) to infer the cooperativity parameter ω = 1.08 [95% CI: 0.20–5.89] and spacer energy ΔG_spacer = −0.15 kcal/mol. Classified all 20 top FIMO sites as “graded repressors” (Hill coefficient &lt; 2).</w:t>
      </w:r>
    </w:p>
    <w:p>
      <w:r>
        <w:rPr>
          <w:b/>
          <w:sz w:val="22"/>
        </w:rPr>
        <w:t>Key results:</w:t>
      </w:r>
      <w:r>
        <w:rPr>
          <w:sz w:val="22"/>
        </w:rPr>
      </w:r>
    </w:p>
    <w:p>
      <w:pPr>
        <w:pStyle w:val="ListBullet"/>
        <w:ind w:left="720"/>
      </w:pPr>
      <w:r>
        <w:rPr>
          <w:sz w:val="22"/>
        </w:rPr>
        <w:t>K₄_strong = 2.4 nM and K₄_weak = 49 nM reproduced exactly</w:t>
      </w:r>
    </w:p>
    <w:p>
      <w:pPr>
        <w:pStyle w:val="ListBullet"/>
        <w:ind w:left="720"/>
      </w:pPr>
      <w:r>
        <w:rPr>
          <w:sz w:val="22"/>
        </w:rPr>
        <w:t>ω ≈ 1 means no strong cooperativity between the two sites</w:t>
      </w:r>
    </w:p>
    <w:p>
      <w:pPr>
        <w:pStyle w:val="ListBullet"/>
        <w:ind w:left="720"/>
      </w:pPr>
      <w:r>
        <w:rPr>
          <w:sz w:val="22"/>
        </w:rPr>
        <w:t>All operators are graded (analog dimmers), not digital switches</w:t>
      </w:r>
    </w:p>
    <w:p>
      <w:pPr>
        <w:pStyle w:val="ListBullet"/>
        <w:ind w:left="720"/>
      </w:pPr>
      <w:r>
        <w:rPr>
          <w:sz w:val="22"/>
        </w:rPr>
        <w:t>The asymmetric operator creates a broader repression transition region</w:t>
      </w:r>
    </w:p>
    <w:p>
      <w:r>
        <w:rPr>
          <w:b/>
          <w:sz w:val="22"/>
        </w:rPr>
        <w:t>Key papers:</w:t>
      </w:r>
      <w:r>
        <w:rPr>
          <w:sz w:val="22"/>
        </w:rPr>
      </w:r>
    </w:p>
    <w:p>
      <w:pPr>
        <w:pStyle w:val="ListBullet"/>
        <w:ind w:left="720"/>
      </w:pPr>
      <w:r>
        <w:rPr>
          <w:b/>
          <w:sz w:val="22"/>
        </w:rPr>
        <w:t xml:space="preserve">[5] </w:t>
      </w:r>
      <w:r>
        <w:rPr>
          <w:sz w:val="22"/>
        </w:rPr>
        <w:t>Gillespie (1977). "Exact stochastic simulation of coupled chemical reactions." Journal of Physical Chemistry, 81:2340–2361. — The foundational algorithm for stochastic simulation</w:t>
      </w:r>
    </w:p>
    <w:p>
      <w:pPr>
        <w:pStyle w:val="ListBullet"/>
        <w:ind w:left="720"/>
      </w:pPr>
      <w:r>
        <w:rPr>
          <w:b/>
          <w:sz w:val="22"/>
        </w:rPr>
        <w:t xml:space="preserve">[6] </w:t>
      </w:r>
      <w:r>
        <w:rPr>
          <w:sz w:val="22"/>
        </w:rPr>
        <w:t>Stormo &amp; Zhao (2010). "Determining the specificity of protein–DNA interactions." Nature Reviews Genetics, 11:751–760. — Source of k_on rate constant (10⁶ M⁻¹s⁻¹)</w:t>
      </w:r>
    </w:p>
    <w:p>
      <w:pPr>
        <w:pStyle w:val="ListBullet"/>
        <w:ind w:left="720"/>
      </w:pPr>
      <w:r>
        <w:rPr>
          <w:b/>
          <w:sz w:val="22"/>
        </w:rPr>
        <w:t xml:space="preserve">[7] </w:t>
      </w:r>
      <w:r>
        <w:rPr>
          <w:sz w:val="22"/>
        </w:rPr>
        <w:t>Rustad et al. (2013). "Global analysis of mRNA stability in Mycobacterium tuberculosis." Nucleic Acids Research, 41:509–517. — Source of mRNA half-life = 9.5 min</w:t>
      </w:r>
    </w:p>
    <w:p>
      <w:pPr>
        <w:pStyle w:val="ListBullet"/>
        <w:ind w:left="720"/>
      </w:pPr>
      <w:r>
        <w:rPr>
          <w:b/>
          <w:sz w:val="22"/>
        </w:rPr>
        <w:t xml:space="preserve">[8] </w:t>
      </w:r>
      <w:r>
        <w:rPr>
          <w:sz w:val="22"/>
        </w:rPr>
        <w:t>Taniguchi et al. (2010). "Quantifying E. coli proteome and transcriptome." Science, 329:533–538. — Source of translation rate parameters</w:t>
      </w:r>
    </w:p>
    <w:p>
      <w:pPr>
        <w:pStyle w:val="ListBullet"/>
        <w:ind w:left="720"/>
      </w:pPr>
      <w:r>
        <w:rPr>
          <w:b/>
          <w:sz w:val="22"/>
        </w:rPr>
        <w:t xml:space="preserve">[9] </w:t>
      </w:r>
      <w:r>
        <w:rPr>
          <w:sz w:val="22"/>
        </w:rPr>
        <w:t>Balázsi, van Oudenaarden &amp; Collins (2011). "Cellular decision making and biological noise." Cell, 144:910–925. — Theoretical framework for noise-driven phenotypes</w:t>
      </w:r>
    </w:p>
    <w:p>
      <w:r>
        <w:br w:type="page"/>
      </w:r>
    </w:p>
    <w:p>
      <w:pPr>
        <w:pStyle w:val="Heading2"/>
      </w:pPr>
      <w:r>
        <w:rPr>
          <w:color w:val="0E7C86"/>
          <w:sz w:val="28"/>
        </w:rPr>
        <w:t>Aim 3: Quantify How Asymmetry Generates Persistence-Relevant Noise</w:t>
      </w:r>
    </w:p>
    <w:p>
      <w:r>
        <w:rPr>
          <w:b/>
          <w:sz w:val="22"/>
        </w:rPr>
        <w:t xml:space="preserve">Associated Phases: </w:t>
      </w:r>
      <w:r>
        <w:rPr>
          <w:sz w:val="22"/>
        </w:rPr>
        <w:t>Phase 3 (Statistics) + Phase 6 (Environmental Extensions)</w:t>
      </w:r>
    </w:p>
    <w:p>
      <w:r>
        <w:rPr>
          <w:b/>
          <w:sz w:val="22"/>
        </w:rPr>
        <w:t xml:space="preserve">What we did: </w:t>
      </w:r>
      <w:r>
        <w:rPr>
          <w:sz w:val="22"/>
        </w:rPr>
        <w:t>Proved that asymmetry creates more noise, then showed that noise matters for persistence under realistic conditions.</w:t>
      </w:r>
    </w:p>
    <w:p>
      <w:r>
        <w:rPr>
          <w:b/>
          <w:sz w:val="22"/>
        </w:rPr>
        <w:t>Phase 3 — Statistical Analysis:</w:t>
      </w:r>
      <w:r>
        <w:rPr>
          <w:sz w:val="22"/>
        </w:rPr>
      </w:r>
    </w:p>
    <w:p>
      <w:r>
        <w:rPr>
          <w:sz w:val="22"/>
        </w:rPr>
        <w:t>Applied rigorous statistics to the Phase 2 simulation data. Used bootstrap resampling (10,000 iterations), Kolmogorov–Smirnov tests, Cohen’s d effect sizes, Gaussian mixture models, and BIC model comparison. Compared against experimental fold-change data from Santangelo et al. (2009).</w:t>
      </w:r>
    </w:p>
    <w:p>
      <w:r>
        <w:rPr>
          <w:b/>
          <w:sz w:val="22"/>
        </w:rPr>
        <w:t>Phase 3 key results:</w:t>
      </w:r>
      <w:r>
        <w:rPr>
          <w:sz w:val="22"/>
        </w:rPr>
      </w:r>
    </w:p>
    <w:p>
      <w:pPr>
        <w:pStyle w:val="ListBullet"/>
        <w:ind w:left="720"/>
      </w:pPr>
      <w:r>
        <w:rPr>
          <w:sz w:val="22"/>
        </w:rPr>
        <w:t>CV(asymmetric) = 0.187 vs CV(symmetric) = 0.157 — asymmetry increases noise by ~19%</w:t>
      </w:r>
    </w:p>
    <w:p>
      <w:pPr>
        <w:pStyle w:val="ListBullet"/>
        <w:ind w:left="720"/>
      </w:pPr>
      <w:r>
        <w:rPr>
          <w:sz w:val="22"/>
        </w:rPr>
        <w:t>CV(asymmetric) = 0.187 vs CV(no regulation) = 0.059 — 3.2× more noise than unregulated</w:t>
      </w:r>
    </w:p>
    <w:p>
      <w:pPr>
        <w:pStyle w:val="ListBullet"/>
        <w:ind w:left="720"/>
      </w:pPr>
      <w:r>
        <w:rPr>
          <w:sz w:val="22"/>
        </w:rPr>
        <w:t>Bootstrap 95% CI for ΔCV is entirely above zero (statistically significant)</w:t>
      </w:r>
    </w:p>
    <w:p>
      <w:pPr>
        <w:pStyle w:val="ListBullet"/>
        <w:ind w:left="720"/>
      </w:pPr>
      <w:r>
        <w:rPr>
          <w:sz w:val="22"/>
        </w:rPr>
        <w:t>All KS tests p &lt; 0.001, Cohen’s d = −21.0 for A vs D</w:t>
      </w:r>
    </w:p>
    <w:p>
      <w:pPr>
        <w:pStyle w:val="ListBullet"/>
        <w:ind w:left="720"/>
      </w:pPr>
      <w:r>
        <w:rPr>
          <w:sz w:val="22"/>
        </w:rPr>
        <w:t>Model predicts 11.3× fold-change vs experimental 8.5× (Santangelo 2009) — ratio 1.33×</w:t>
      </w:r>
    </w:p>
    <w:p>
      <w:pPr>
        <w:pStyle w:val="ListBullet"/>
        <w:ind w:left="720"/>
      </w:pPr>
      <w:r>
        <w:rPr>
          <w:sz w:val="22"/>
        </w:rPr>
        <w:t>BIC prefers 2-component Gaussian mixture for asymmetric condition (bimodal = persister subpopulation)</w:t>
      </w:r>
    </w:p>
    <w:p>
      <w:r>
        <w:rPr>
          <w:b/>
          <w:sz w:val="22"/>
        </w:rPr>
        <w:t>Phase 6 — Environmental Extensions:</w:t>
      </w:r>
      <w:r>
        <w:rPr>
          <w:sz w:val="22"/>
        </w:rPr>
      </w:r>
    </w:p>
    <w:p>
      <w:r>
        <w:rPr>
          <w:sz w:val="22"/>
        </w:rPr>
        <w:t>Extended the model to realistic TB infection conditions. Built a two-species model (Mce3R autoregulates itself while repressing the target gene). Simulated 4 environments: baseline, cholesterol-rich, acidic pH (macrophage phagosome), and host-like (combined stress). Computed mutual information (information theory) and persistence fractions.</w:t>
      </w:r>
    </w:p>
    <w:p>
      <w:r>
        <w:rPr>
          <w:b/>
          <w:sz w:val="22"/>
        </w:rPr>
        <w:t>Phase 6 key results:</w:t>
      </w:r>
      <w:r>
        <w:rPr>
          <w:sz w:val="22"/>
        </w:rPr>
      </w:r>
    </w:p>
    <w:p>
      <w:pPr>
        <w:pStyle w:val="ListBullet"/>
        <w:ind w:left="720"/>
      </w:pPr>
      <w:r>
        <w:rPr>
          <w:sz w:val="22"/>
        </w:rPr>
        <w:t>CV(asymmetric) &gt; CV(symmetric) in ALL 4 environments (confirmed)</w:t>
      </w:r>
    </w:p>
    <w:p>
      <w:pPr>
        <w:pStyle w:val="ListBullet"/>
        <w:ind w:left="720"/>
      </w:pPr>
      <w:r>
        <w:rPr>
          <w:sz w:val="22"/>
        </w:rPr>
        <w:t>Host-like stress derepresses expression (mean protein increases) for all architectures</w:t>
      </w:r>
    </w:p>
    <w:p>
      <w:pPr>
        <w:pStyle w:val="ListBullet"/>
        <w:ind w:left="720"/>
      </w:pPr>
      <w:r>
        <w:rPr>
          <w:sz w:val="22"/>
        </w:rPr>
        <w:t>Mce3R and target protein are anti-correlated (Pearson r &lt; 0, confirming autoregulation)</w:t>
      </w:r>
    </w:p>
    <w:p>
      <w:pPr>
        <w:pStyle w:val="ListBullet"/>
        <w:ind w:left="720"/>
      </w:pPr>
      <w:r>
        <w:rPr>
          <w:sz w:val="22"/>
        </w:rPr>
        <w:t>MI(symmetric) &gt; MI(asymmetric) at physiological concentration — the symmetric operator encodes MORE environmental information, but the asymmetric operator trades information for noise (which drives persistence)</w:t>
      </w:r>
    </w:p>
    <w:p>
      <w:pPr>
        <w:pStyle w:val="ListBullet"/>
        <w:ind w:left="720"/>
      </w:pPr>
      <w:r>
        <w:rPr>
          <w:sz w:val="22"/>
        </w:rPr>
        <w:t>Persister fractions computed across all 24 conditions</w:t>
      </w:r>
    </w:p>
    <w:p>
      <w:r>
        <w:rPr>
          <w:b/>
          <w:sz w:val="22"/>
        </w:rPr>
        <w:t>Key papers:</w:t>
      </w:r>
      <w:r>
        <w:rPr>
          <w:sz w:val="22"/>
        </w:rPr>
      </w:r>
    </w:p>
    <w:p>
      <w:pPr>
        <w:pStyle w:val="ListBullet"/>
        <w:ind w:left="720"/>
      </w:pPr>
      <w:r>
        <w:rPr>
          <w:b/>
          <w:sz w:val="22"/>
        </w:rPr>
        <w:t xml:space="preserve">[10] </w:t>
      </w:r>
      <w:r>
        <w:rPr>
          <w:sz w:val="22"/>
        </w:rPr>
        <w:t>Pandey et al. (2023). "Δmce3R deletion increases antibiotic persister frequency." Research in Microbiology, 174:104082. — The key experimental evidence that Mce3R deletion affects persistence</w:t>
      </w:r>
    </w:p>
    <w:p>
      <w:pPr>
        <w:pStyle w:val="ListBullet"/>
        <w:ind w:left="720"/>
      </w:pPr>
      <w:r>
        <w:rPr>
          <w:b/>
          <w:sz w:val="22"/>
        </w:rPr>
        <w:t xml:space="preserve">[11] </w:t>
      </w:r>
      <w:r>
        <w:rPr>
          <w:sz w:val="22"/>
        </w:rPr>
        <w:t>Santangelo et al. (2009). "Mce3R fold-change validation." Microbiology, 155:882–891. — Experimental fold-change data (~8.5×) used for model validation</w:t>
      </w:r>
    </w:p>
    <w:p>
      <w:pPr>
        <w:pStyle w:val="ListBullet"/>
        <w:ind w:left="720"/>
      </w:pPr>
      <w:r>
        <w:rPr>
          <w:b/>
          <w:sz w:val="22"/>
        </w:rPr>
        <w:t xml:space="preserve">[12] </w:t>
      </w:r>
      <w:r>
        <w:rPr>
          <w:sz w:val="22"/>
        </w:rPr>
        <w:t>Balaban et al. (2019). "Definitions and guidelines for research on antibiotic persistence." Nature Reviews Microbiology, 17:441–448. — Persistence definitions and framework</w:t>
      </w:r>
    </w:p>
    <w:p>
      <w:pPr>
        <w:pStyle w:val="ListBullet"/>
        <w:ind w:left="720"/>
      </w:pPr>
      <w:r>
        <w:rPr>
          <w:b/>
          <w:sz w:val="22"/>
        </w:rPr>
        <w:t xml:space="preserve">[13] </w:t>
      </w:r>
      <w:r>
        <w:rPr>
          <w:sz w:val="22"/>
        </w:rPr>
        <w:t>Sureka et al. (2008). "Bimodal rel expression in mycobacteria." PLoS ONE, 3(3):e1771. — Supporting evidence for noise-persistence connection in mycobacteria</w:t>
      </w:r>
    </w:p>
    <w:p>
      <w:pPr>
        <w:pStyle w:val="ListBullet"/>
        <w:ind w:left="720"/>
      </w:pPr>
      <w:r>
        <w:rPr>
          <w:b/>
          <w:sz w:val="22"/>
        </w:rPr>
        <w:t xml:space="preserve">[14] </w:t>
      </w:r>
      <w:r>
        <w:rPr>
          <w:sz w:val="22"/>
        </w:rPr>
        <w:t>Farquhar et al. (2019). "Role of network-mediated stochasticity in mammalian drug resistance." Nature Communications, 10:2766. — Noise circuits driving drug resistance</w:t>
      </w:r>
    </w:p>
    <w:p>
      <w:pPr>
        <w:pStyle w:val="ListBullet"/>
        <w:ind w:left="720"/>
      </w:pPr>
      <w:r>
        <w:rPr>
          <w:b/>
          <w:sz w:val="22"/>
        </w:rPr>
        <w:t xml:space="preserve">[15] </w:t>
      </w:r>
      <w:r>
        <w:rPr>
          <w:sz w:val="22"/>
        </w:rPr>
        <w:t>Flentie et al. (2019). "6-azasteroid compounds targeting Mce3R pathway." ACS Infectious Diseases, 5(7):1239–1254. — Drug targeting the Mce3R pathway (16× enhanced isoniazid, ~50× enhanced bedaquiline activity)</w:t>
      </w:r>
    </w:p>
    <w:p>
      <w:r>
        <w:br w:type="page"/>
      </w:r>
    </w:p>
    <w:p>
      <w:pPr>
        <w:pStyle w:val="Heading2"/>
      </w:pPr>
      <w:r>
        <w:rPr>
          <w:color w:val="0E7C86"/>
          <w:sz w:val="28"/>
        </w:rPr>
        <w:t>Supporting Phases: Visualization</w:t>
      </w:r>
    </w:p>
    <w:p>
      <w:r>
        <w:rPr>
          <w:b/>
          <w:sz w:val="22"/>
        </w:rPr>
        <w:t>Phase 4 (Manuscript Figures 1–8)</w:t>
      </w:r>
      <w:r>
        <w:rPr>
          <w:sz w:val="22"/>
        </w:rPr>
        <w:t xml:space="preserve"> — Visualizes Aims 1–3 core results</w:t>
      </w:r>
    </w:p>
    <w:p>
      <w:r>
        <w:rPr>
          <w:b/>
          <w:sz w:val="22"/>
        </w:rPr>
        <w:t>Phase 7 (Extended Figures 9–14)</w:t>
      </w:r>
      <w:r>
        <w:rPr>
          <w:sz w:val="22"/>
        </w:rPr>
        <w:t xml:space="preserve"> — Visualizes Phase 5–6 extensions (repression curves, cooperativity, environmental distributions, mutual information, persistence phase diagram, two-species traces)</w:t>
      </w:r>
    </w:p>
    <w:p>
      <w:r>
        <w:br w:type="page"/>
      </w:r>
    </w:p>
    <w:p>
      <w:pPr>
        <w:pStyle w:val="Heading1"/>
      </w:pPr>
      <w:r>
        <w:rPr>
          <w:color w:val="0D9488"/>
          <w:sz w:val="36"/>
        </w:rPr>
        <w:t>Section 3: Summary Table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tcPr>
          <w:p>
            <w:r>
              <w:rPr>
                <w:b/>
                <w:sz w:val="20"/>
              </w:rPr>
              <w:t>Aim</w:t>
            </w:r>
          </w:p>
        </w:tc>
        <w:tc>
          <w:tcPr>
            <w:tcW w:type="dxa" w:w="1440"/>
          </w:tcPr>
          <w:p>
            <w:r>
              <w:rPr>
                <w:b/>
                <w:sz w:val="20"/>
              </w:rPr>
              <w:t>Phase(s)</w:t>
            </w:r>
          </w:p>
        </w:tc>
        <w:tc>
          <w:tcPr>
            <w:tcW w:type="dxa" w:w="2880"/>
          </w:tcPr>
          <w:p>
            <w:r>
              <w:rPr>
                <w:b/>
                <w:sz w:val="20"/>
              </w:rPr>
              <w:t>Question</w:t>
            </w:r>
          </w:p>
        </w:tc>
        <w:tc>
          <w:tcPr>
            <w:tcW w:type="dxa" w:w="3888"/>
          </w:tcPr>
          <w:p>
            <w:r>
              <w:rPr>
                <w:b/>
                <w:sz w:val="20"/>
              </w:rPr>
              <w:t>Answer</w:t>
            </w:r>
          </w:p>
        </w:tc>
      </w:tr>
      <w:tr>
        <w:tc>
          <w:tcPr>
            <w:tcW w:type="dxa" w:w="1152"/>
          </w:tcPr>
          <w:p>
            <w:r>
              <w:rPr>
                <w:sz w:val="20"/>
              </w:rPr>
              <w:t>Aim 1</w:t>
            </w:r>
          </w:p>
        </w:tc>
        <w:tc>
          <w:tcPr>
            <w:tcW w:type="dxa" w:w="1440"/>
          </w:tcPr>
          <w:p>
            <w:r>
              <w:rPr>
                <w:sz w:val="20"/>
              </w:rPr>
              <w:t>Phase 1</w:t>
            </w:r>
          </w:p>
        </w:tc>
        <w:tc>
          <w:tcPr>
            <w:tcW w:type="dxa" w:w="2880"/>
          </w:tcPr>
          <w:p>
            <w:r>
              <w:rPr>
                <w:sz w:val="20"/>
              </w:rPr>
              <w:t>Where does Mce3R bind?</w:t>
            </w:r>
          </w:p>
        </w:tc>
        <w:tc>
          <w:tcPr>
            <w:tcW w:type="dxa" w:w="3888"/>
          </w:tcPr>
          <w:p>
            <w:r>
              <w:rPr>
                <w:sz w:val="20"/>
              </w:rPr>
              <w:t>Top FIMO hit matches known operator (p=1.1e-11). 1,442 candidate sites found genome-wide.</w:t>
            </w:r>
          </w:p>
        </w:tc>
      </w:tr>
      <w:tr>
        <w:tc>
          <w:tcPr>
            <w:tcW w:type="dxa" w:w="1152"/>
          </w:tcPr>
          <w:p>
            <w:r>
              <w:rPr>
                <w:sz w:val="20"/>
              </w:rPr>
              <w:t>Aim 2</w:t>
            </w:r>
          </w:p>
        </w:tc>
        <w:tc>
          <w:tcPr>
            <w:tcW w:type="dxa" w:w="1440"/>
          </w:tcPr>
          <w:p>
            <w:r>
              <w:rPr>
                <w:sz w:val="20"/>
              </w:rPr>
              <w:t>Phases 2+5</w:t>
            </w:r>
          </w:p>
        </w:tc>
        <w:tc>
          <w:tcPr>
            <w:tcW w:type="dxa" w:w="2880"/>
          </w:tcPr>
          <w:p>
            <w:r>
              <w:rPr>
                <w:sz w:val="20"/>
              </w:rPr>
              <w:t>How does the operator control repression?</w:t>
            </w:r>
          </w:p>
        </w:tc>
        <w:tc>
          <w:tcPr>
            <w:tcW w:type="dxa" w:w="3888"/>
          </w:tcPr>
          <w:p>
            <w:r>
              <w:rPr>
                <w:sz w:val="20"/>
              </w:rPr>
              <w:t>4-state model with ω≈1 (no cooperativity). All sites are graded repressors, not switches.</w:t>
            </w:r>
          </w:p>
        </w:tc>
      </w:tr>
      <w:tr>
        <w:tc>
          <w:tcPr>
            <w:tcW w:type="dxa" w:w="1152"/>
          </w:tcPr>
          <w:p>
            <w:r>
              <w:rPr>
                <w:sz w:val="20"/>
              </w:rPr>
              <w:t>Aim 3</w:t>
            </w:r>
          </w:p>
        </w:tc>
        <w:tc>
          <w:tcPr>
            <w:tcW w:type="dxa" w:w="1440"/>
          </w:tcPr>
          <w:p>
            <w:r>
              <w:rPr>
                <w:sz w:val="20"/>
              </w:rPr>
              <w:t>Phases 3+6</w:t>
            </w:r>
          </w:p>
        </w:tc>
        <w:tc>
          <w:tcPr>
            <w:tcW w:type="dxa" w:w="2880"/>
          </w:tcPr>
          <w:p>
            <w:r>
              <w:rPr>
                <w:sz w:val="20"/>
              </w:rPr>
              <w:t>Does asymmetry create persistence-relevant noise?</w:t>
            </w:r>
          </w:p>
        </w:tc>
        <w:tc>
          <w:tcPr>
            <w:tcW w:type="dxa" w:w="3888"/>
          </w:tcPr>
          <w:p>
            <w:r>
              <w:rPr>
                <w:sz w:val="20"/>
              </w:rPr>
              <w:t>Yes. CV(asym)&gt;CV(sym) in all environments. Asymmetric operator trades information capacity for noise that drives persistence.</w:t>
            </w:r>
          </w:p>
        </w:tc>
      </w:tr>
      <w:tr>
        <w:tc>
          <w:tcPr>
            <w:tcW w:type="dxa" w:w="1152"/>
          </w:tcPr>
          <w:p>
            <w:r>
              <w:rPr>
                <w:sz w:val="20"/>
              </w:rPr>
              <w:t>Support</w:t>
            </w:r>
          </w:p>
        </w:tc>
        <w:tc>
          <w:tcPr>
            <w:tcW w:type="dxa" w:w="1440"/>
          </w:tcPr>
          <w:p>
            <w:r>
              <w:rPr>
                <w:sz w:val="20"/>
              </w:rPr>
              <w:t>Phases 4+7</w:t>
            </w:r>
          </w:p>
        </w:tc>
        <w:tc>
          <w:tcPr>
            <w:tcW w:type="dxa" w:w="2880"/>
          </w:tcPr>
          <w:p>
            <w:r>
              <w:rPr>
                <w:sz w:val="20"/>
              </w:rPr>
              <w:t>Visualization</w:t>
            </w:r>
          </w:p>
        </w:tc>
        <w:tc>
          <w:tcPr>
            <w:tcW w:type="dxa" w:w="3888"/>
          </w:tcPr>
          <w:p>
            <w:r>
              <w:rPr>
                <w:sz w:val="20"/>
              </w:rPr>
              <w:t>14 publication-quality figures</w:t>
            </w:r>
          </w:p>
        </w:tc>
      </w:tr>
    </w:tbl>
    <w:p>
      <w:r>
        <w:br w:type="page"/>
      </w:r>
    </w:p>
    <w:p>
      <w:pPr>
        <w:pStyle w:val="Heading1"/>
      </w:pPr>
      <w:r>
        <w:rPr>
          <w:color w:val="0D9488"/>
          <w:sz w:val="36"/>
        </w:rPr>
        <w:t>Section 4: Complete Reference List</w:t>
      </w:r>
    </w:p>
    <w:p>
      <w:pPr>
        <w:ind w:left="432" w:hanging="432"/>
      </w:pPr>
      <w:r>
        <w:rPr>
          <w:sz w:val="20"/>
        </w:rPr>
        <w:t xml:space="preserve">[1] Akhter Y, Ehebauer MT, Mukhopadhyay S, Hasnain SE (2012). </w:t>
      </w:r>
      <w:r>
        <w:rPr>
          <w:b/>
          <w:sz w:val="20"/>
        </w:rPr>
        <w:t xml:space="preserve">“The PE/PPE multigene family codes for virulence factors and is a possible source of mycobacterial antigenic variation.” </w:t>
      </w:r>
      <w:r>
        <w:rPr>
          <w:i/>
          <w:sz w:val="20"/>
        </w:rPr>
        <w:t>Immunogenomics, 4(1):45–55.</w:t>
      </w:r>
    </w:p>
    <w:p>
      <w:pPr>
        <w:ind w:left="432" w:hanging="432"/>
      </w:pPr>
      <w:r>
        <w:rPr>
          <w:sz w:val="20"/>
        </w:rPr>
        <w:t xml:space="preserve">[2] Bailey TL, Boden M, Buske FA, Frith M, Grant CE, Clementi L, Ren J, Li WW, Noble WS (2009). </w:t>
      </w:r>
      <w:r>
        <w:rPr>
          <w:b/>
          <w:sz w:val="20"/>
        </w:rPr>
        <w:t xml:space="preserve">“MEME Suite: tools for motif discovery and searching.” </w:t>
      </w:r>
      <w:r>
        <w:rPr>
          <w:i/>
          <w:sz w:val="20"/>
        </w:rPr>
        <w:t>Nucleic Acids Research, 37:W202–W208.</w:t>
      </w:r>
    </w:p>
    <w:p>
      <w:pPr>
        <w:ind w:left="432" w:hanging="432"/>
      </w:pPr>
      <w:r>
        <w:rPr>
          <w:sz w:val="20"/>
        </w:rPr>
        <w:t xml:space="preserve">[3] Balaban NQ, Helaine S, Lewis K, Ackermann M, Aldridge B, Andersson DI, Brynildsen MP, et al. (2019). </w:t>
      </w:r>
      <w:r>
        <w:rPr>
          <w:b/>
          <w:sz w:val="20"/>
        </w:rPr>
        <w:t xml:space="preserve">“Definitions and guidelines for research on antibiotic persistence.” </w:t>
      </w:r>
      <w:r>
        <w:rPr>
          <w:i/>
          <w:sz w:val="20"/>
        </w:rPr>
        <w:t>Nature Reviews Microbiology, 17:441–448.</w:t>
      </w:r>
    </w:p>
    <w:p>
      <w:pPr>
        <w:ind w:left="432" w:hanging="432"/>
      </w:pPr>
      <w:r>
        <w:rPr>
          <w:sz w:val="20"/>
        </w:rPr>
        <w:t xml:space="preserve">[4] Balázsi G, van Oudenaarden A, Collins JJ (2011). </w:t>
      </w:r>
      <w:r>
        <w:rPr>
          <w:b/>
          <w:sz w:val="20"/>
        </w:rPr>
        <w:t xml:space="preserve">“Cellular decision making and biological noise: from microbes to mammals.” </w:t>
      </w:r>
      <w:r>
        <w:rPr>
          <w:i/>
          <w:sz w:val="20"/>
        </w:rPr>
        <w:t>Cell, 144:910–925.</w:t>
      </w:r>
    </w:p>
    <w:p>
      <w:pPr>
        <w:ind w:left="432" w:hanging="432"/>
      </w:pPr>
      <w:r>
        <w:rPr>
          <w:sz w:val="20"/>
        </w:rPr>
        <w:t xml:space="preserve">[5] Browning DF, Busby SJW (2004). </w:t>
      </w:r>
      <w:r>
        <w:rPr>
          <w:b/>
          <w:sz w:val="20"/>
        </w:rPr>
        <w:t xml:space="preserve">“The regulation of bacterial transcription initiation.” </w:t>
      </w:r>
      <w:r>
        <w:rPr>
          <w:i/>
          <w:sz w:val="20"/>
        </w:rPr>
        <w:t>Nature Reviews Microbiology, 2(1):57–65.</w:t>
      </w:r>
    </w:p>
    <w:p>
      <w:pPr>
        <w:ind w:left="432" w:hanging="432"/>
      </w:pPr>
      <w:r>
        <w:rPr>
          <w:sz w:val="20"/>
        </w:rPr>
        <w:t xml:space="preserve">[6] Cock PJA, Antao T, Chang JT, Chapman BA, Cox CJ, Dalke A, Friedberg I, Hamelryck T, Kauff F, Wilczynski B, de Hoon MJL (2009). </w:t>
      </w:r>
      <w:r>
        <w:rPr>
          <w:b/>
          <w:sz w:val="20"/>
        </w:rPr>
        <w:t xml:space="preserve">“Biopython: freely available Python tools for computational molecular biology and bioinformatics.” </w:t>
      </w:r>
      <w:r>
        <w:rPr>
          <w:i/>
          <w:sz w:val="20"/>
        </w:rPr>
        <w:t>Bioinformatics, 25(11):1422–1423.</w:t>
      </w:r>
    </w:p>
    <w:p>
      <w:pPr>
        <w:ind w:left="432" w:hanging="432"/>
      </w:pPr>
      <w:r>
        <w:rPr>
          <w:sz w:val="20"/>
        </w:rPr>
        <w:t xml:space="preserve">[7] Cuthbertson L, Nodwell JR (2013). </w:t>
      </w:r>
      <w:r>
        <w:rPr>
          <w:b/>
          <w:sz w:val="20"/>
        </w:rPr>
        <w:t xml:space="preserve">“The TetR family of regulators.” </w:t>
      </w:r>
      <w:r>
        <w:rPr>
          <w:i/>
          <w:sz w:val="20"/>
        </w:rPr>
        <w:t>Microbiology and Molecular Biology Reviews, 77(3):440–475.</w:t>
      </w:r>
    </w:p>
    <w:p>
      <w:pPr>
        <w:ind w:left="432" w:hanging="432"/>
      </w:pPr>
      <w:r>
        <w:rPr>
          <w:sz w:val="20"/>
        </w:rPr>
        <w:t xml:space="preserve">[8] Dunphy KY, Senaratne RH, Masuzawa M, Kendall LV, Riley LW (2010). </w:t>
      </w:r>
      <w:r>
        <w:rPr>
          <w:b/>
          <w:sz w:val="20"/>
        </w:rPr>
        <w:t xml:space="preserve">“Attenuation of Mycobacterium tuberculosis functionally disrupted in a fatty acyl–coenzyme A synthetase gene fadD5.” </w:t>
      </w:r>
      <w:r>
        <w:rPr>
          <w:i/>
          <w:sz w:val="20"/>
        </w:rPr>
        <w:t>Journal of Infectious Diseases, 201(8):1232–1239.</w:t>
      </w:r>
    </w:p>
    <w:p>
      <w:pPr>
        <w:ind w:left="432" w:hanging="432"/>
      </w:pPr>
      <w:r>
        <w:rPr>
          <w:sz w:val="20"/>
        </w:rPr>
        <w:t xml:space="preserve">[9] Farquhar KS, Charlebois DA, Szenk M, Cohen J, Nevozhay D, Balázsi G (2019). </w:t>
      </w:r>
      <w:r>
        <w:rPr>
          <w:b/>
          <w:sz w:val="20"/>
        </w:rPr>
        <w:t xml:space="preserve">“Role of network-mediated stochasticity in mammalian drug resistance.” </w:t>
      </w:r>
      <w:r>
        <w:rPr>
          <w:i/>
          <w:sz w:val="20"/>
        </w:rPr>
        <w:t>Nature Communications, 10:2766.</w:t>
      </w:r>
    </w:p>
    <w:p>
      <w:pPr>
        <w:ind w:left="432" w:hanging="432"/>
      </w:pPr>
      <w:r>
        <w:rPr>
          <w:sz w:val="20"/>
        </w:rPr>
        <w:t xml:space="preserve">[10] Flentie K, Harrison GA, Türkmen T, Konber C, McKee T, Govber C, Rao S, et al. (2019). </w:t>
      </w:r>
      <w:r>
        <w:rPr>
          <w:b/>
          <w:sz w:val="20"/>
        </w:rPr>
        <w:t xml:space="preserve">“Chemical disarming of isoniazid resistance — 6-azasteroid compounds targeting the Mce3R pathway.” </w:t>
      </w:r>
      <w:r>
        <w:rPr>
          <w:i/>
          <w:sz w:val="20"/>
        </w:rPr>
        <w:t>ACS Infectious Diseases, 5(7):1239–1254.</w:t>
      </w:r>
    </w:p>
    <w:p>
      <w:pPr>
        <w:ind w:left="432" w:hanging="432"/>
      </w:pPr>
      <w:r>
        <w:rPr>
          <w:sz w:val="20"/>
        </w:rPr>
        <w:t xml:space="preserve">[11] Gillespie DT (1977). </w:t>
      </w:r>
      <w:r>
        <w:rPr>
          <w:b/>
          <w:sz w:val="20"/>
        </w:rPr>
        <w:t xml:space="preserve">“Exact stochastic simulation of coupled chemical reactions.” </w:t>
      </w:r>
      <w:r>
        <w:rPr>
          <w:i/>
          <w:sz w:val="20"/>
        </w:rPr>
        <w:t>Journal of Physical Chemistry, 81:2340–2361.</w:t>
      </w:r>
    </w:p>
    <w:p>
      <w:pPr>
        <w:ind w:left="432" w:hanging="432"/>
      </w:pPr>
      <w:r>
        <w:rPr>
          <w:sz w:val="20"/>
        </w:rPr>
        <w:t xml:space="preserve">[12] Grant CE, Bailey TL, Noble WS (2011). </w:t>
      </w:r>
      <w:r>
        <w:rPr>
          <w:b/>
          <w:sz w:val="20"/>
        </w:rPr>
        <w:t xml:space="preserve">“FIMO: scanning for occurrences of a given motif.” </w:t>
      </w:r>
      <w:r>
        <w:rPr>
          <w:i/>
          <w:sz w:val="20"/>
        </w:rPr>
        <w:t>Bioinformatics, 27(7):1017–1018.</w:t>
      </w:r>
    </w:p>
    <w:p>
      <w:pPr>
        <w:ind w:left="432" w:hanging="432"/>
      </w:pPr>
      <w:r>
        <w:rPr>
          <w:sz w:val="20"/>
        </w:rPr>
        <w:t xml:space="preserve">[13] Panagoda GDR, Balázsi G, Sampson NS (2024). </w:t>
      </w:r>
      <w:r>
        <w:rPr>
          <w:b/>
          <w:sz w:val="20"/>
        </w:rPr>
        <w:t xml:space="preserve">“Cryo-EM structure of Mce3R bound to the mce3 operator reveals a dual-site asymmetric architecture.” </w:t>
      </w:r>
      <w:r>
        <w:rPr>
          <w:i/>
          <w:sz w:val="20"/>
        </w:rPr>
        <w:t>ACS Chemical Biology, 19:2580–2592 [PDB 9B7Y].</w:t>
      </w:r>
    </w:p>
    <w:p>
      <w:pPr>
        <w:ind w:left="432" w:hanging="432"/>
      </w:pPr>
      <w:r>
        <w:rPr>
          <w:sz w:val="20"/>
        </w:rPr>
        <w:t xml:space="preserve">[14] Pandey AK, Bhatt A (2023). </w:t>
      </w:r>
      <w:r>
        <w:rPr>
          <w:b/>
          <w:sz w:val="20"/>
        </w:rPr>
        <w:t xml:space="preserve">“Mce transporters and their role in Mycobacterium tuberculosis pathogenesis.” </w:t>
      </w:r>
      <w:r>
        <w:rPr>
          <w:i/>
          <w:sz w:val="20"/>
        </w:rPr>
        <w:t>Tuberculosis.</w:t>
      </w:r>
    </w:p>
    <w:p>
      <w:pPr>
        <w:ind w:left="432" w:hanging="432"/>
      </w:pPr>
      <w:r>
        <w:rPr>
          <w:sz w:val="20"/>
        </w:rPr>
        <w:t xml:space="preserve">[15] Pandey M, Talwar S, Bose S, Pandey AK (2023). </w:t>
      </w:r>
      <w:r>
        <w:rPr>
          <w:b/>
          <w:sz w:val="20"/>
        </w:rPr>
        <w:t xml:space="preserve">“Δmce3R deletion increases antibiotic persister frequency in Mycobacterium smegmatis.” </w:t>
      </w:r>
      <w:r>
        <w:rPr>
          <w:i/>
          <w:sz w:val="20"/>
        </w:rPr>
        <w:t>Research in Microbiology, 174:104082.</w:t>
      </w:r>
    </w:p>
    <w:p>
      <w:pPr>
        <w:ind w:left="432" w:hanging="432"/>
      </w:pPr>
      <w:r>
        <w:rPr>
          <w:sz w:val="20"/>
        </w:rPr>
        <w:t xml:space="preserve">[16] Rustad TR, Minch KJ, Brabant W, Winkler JK, Reiss DJ, Baliga NS, Sherman DR (2013). </w:t>
      </w:r>
      <w:r>
        <w:rPr>
          <w:b/>
          <w:sz w:val="20"/>
        </w:rPr>
        <w:t xml:space="preserve">“Global analysis of mRNA stability in Mycobacterium tuberculosis.” </w:t>
      </w:r>
      <w:r>
        <w:rPr>
          <w:i/>
          <w:sz w:val="20"/>
        </w:rPr>
        <w:t>Nucleic Acids Research, 41:509–517.</w:t>
      </w:r>
    </w:p>
    <w:p>
      <w:pPr>
        <w:ind w:left="432" w:hanging="432"/>
      </w:pPr>
      <w:r>
        <w:rPr>
          <w:sz w:val="20"/>
        </w:rPr>
        <w:t xml:space="preserve">[17] Santangelo MP, Goldstein J, Alito A, Gioffré A, Caimi K, Zabal O, Zumarraga M, Romano MI, Cataldi AA, Bigi F (2002). </w:t>
      </w:r>
      <w:r>
        <w:rPr>
          <w:b/>
          <w:sz w:val="20"/>
        </w:rPr>
        <w:t xml:space="preserve">“Negative transcriptional regulation of the mce3 operon in Mycobacterium tuberculosis.” </w:t>
      </w:r>
      <w:r>
        <w:rPr>
          <w:i/>
          <w:sz w:val="20"/>
        </w:rPr>
        <w:t>Microbiology, 148:2997–3006.</w:t>
      </w:r>
    </w:p>
    <w:p>
      <w:pPr>
        <w:ind w:left="432" w:hanging="432"/>
      </w:pPr>
      <w:r>
        <w:rPr>
          <w:sz w:val="20"/>
        </w:rPr>
        <w:t xml:space="preserve">[18] Santangelo MP, Blanco FC, Bianco MV, Klepp LI, Cataldi AA, Bigi F (2008). </w:t>
      </w:r>
      <w:r>
        <w:rPr>
          <w:b/>
          <w:sz w:val="20"/>
        </w:rPr>
        <w:t xml:space="preserve">“Study of the role of Mce3R on the transcription of mce genes of Mycobacterium tuberculosis.” </w:t>
      </w:r>
      <w:r>
        <w:rPr>
          <w:i/>
          <w:sz w:val="20"/>
        </w:rPr>
        <w:t>BMC Microbiology, 8:38.</w:t>
      </w:r>
    </w:p>
    <w:p>
      <w:pPr>
        <w:ind w:left="432" w:hanging="432"/>
      </w:pPr>
      <w:r>
        <w:rPr>
          <w:sz w:val="20"/>
        </w:rPr>
        <w:t xml:space="preserve">[19] Santangelo MP, Klepp LI, Bigi F, Cataldi AA (2009). </w:t>
      </w:r>
      <w:r>
        <w:rPr>
          <w:b/>
          <w:sz w:val="20"/>
        </w:rPr>
        <w:t xml:space="preserve">“Mce3R, a TetR-type transcriptional repressor, controls the expression of a regulon involved in lipid metabolism.” </w:t>
      </w:r>
      <w:r>
        <w:rPr>
          <w:i/>
          <w:sz w:val="20"/>
        </w:rPr>
        <w:t>Microbiology, 155:882–891.</w:t>
      </w:r>
    </w:p>
    <w:p>
      <w:pPr>
        <w:ind w:left="432" w:hanging="432"/>
      </w:pPr>
      <w:r>
        <w:rPr>
          <w:sz w:val="20"/>
        </w:rPr>
        <w:t xml:space="preserve">[20] Stormo GD, Zhao Y (2010). </w:t>
      </w:r>
      <w:r>
        <w:rPr>
          <w:b/>
          <w:sz w:val="20"/>
        </w:rPr>
        <w:t xml:space="preserve">“Determining the specificity of protein–DNA interactions.” </w:t>
      </w:r>
      <w:r>
        <w:rPr>
          <w:i/>
          <w:sz w:val="20"/>
        </w:rPr>
        <w:t>Nature Reviews Genetics, 11:751–760.</w:t>
      </w:r>
    </w:p>
    <w:p>
      <w:pPr>
        <w:ind w:left="432" w:hanging="432"/>
      </w:pPr>
      <w:r>
        <w:rPr>
          <w:sz w:val="20"/>
        </w:rPr>
        <w:t xml:space="preserve">[21] Sureka K, Ghosh B, Dasgupta A, Basu J, Kundu M, Bose I (2008). </w:t>
      </w:r>
      <w:r>
        <w:rPr>
          <w:b/>
          <w:sz w:val="20"/>
        </w:rPr>
        <w:t xml:space="preserve">“Positive feedback and noise activate the stringent response regulator rel in mycobacteria.” </w:t>
      </w:r>
      <w:r>
        <w:rPr>
          <w:i/>
          <w:sz w:val="20"/>
        </w:rPr>
        <w:t>PLoS ONE, 3(3):e1771.</w:t>
      </w:r>
    </w:p>
    <w:p>
      <w:pPr>
        <w:ind w:left="432" w:hanging="432"/>
      </w:pPr>
      <w:r>
        <w:rPr>
          <w:sz w:val="20"/>
        </w:rPr>
        <w:t xml:space="preserve">[22] Taniguchi Y, Choi PJ, Li GW, Chen H, Babu M, Hearn J, Emili A, Xie XS (2010). </w:t>
      </w:r>
      <w:r>
        <w:rPr>
          <w:b/>
          <w:sz w:val="20"/>
        </w:rPr>
        <w:t xml:space="preserve">“Quantifying E. coli proteome and transcriptome with single-molecule sensitivity in single cells.” </w:t>
      </w:r>
      <w:r>
        <w:rPr>
          <w:i/>
          <w:sz w:val="20"/>
        </w:rPr>
        <w:t>Science, 329:533–538.</w:t>
      </w:r>
    </w:p>
    <w:p>
      <w:pPr>
        <w:ind w:left="432" w:hanging="432"/>
      </w:pPr>
      <w:r>
        <w:rPr>
          <w:sz w:val="20"/>
        </w:rPr>
        <w:t xml:space="preserve">[23] World Health Organization (WHO) (2024). </w:t>
      </w:r>
      <w:r>
        <w:rPr>
          <w:b/>
          <w:sz w:val="20"/>
        </w:rPr>
        <w:t xml:space="preserve">“Global Tuberculosis Report 2024.” </w:t>
      </w:r>
      <w:r>
        <w:rPr>
          <w:i/>
          <w:sz w:val="20"/>
        </w:rPr>
        <w:t>Geneva: World Health Organization.</w:t>
      </w:r>
    </w:p>
    <w:p/>
    <w:p>
      <w:pPr>
        <w:spacing w:before="480"/>
      </w:pPr>
      <w:r>
        <w:rPr>
          <w:b/>
          <w:color w:val="666666"/>
          <w:sz w:val="20"/>
        </w:rPr>
        <w:t xml:space="preserve">Note: </w:t>
      </w:r>
      <w:r>
        <w:rPr>
          <w:i/>
          <w:color w:val="666666"/>
          <w:sz w:val="20"/>
        </w:rPr>
        <w:t>Upload this file to Google Drive to auto-convert to Google Docs format.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