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28"/>
        </w:rPr>
        <w:t>Computational Atlas of Mce3R Binding-Site Variation and Regulatory Rewiring Across Clinical Mycobacterium tuberculosis Isolates</w:t>
      </w:r>
    </w:p>
    <w:p>
      <w:pPr>
        <w:jc w:val="center"/>
      </w:pPr>
      <w:r>
        <w:rPr>
          <w:i/>
          <w:sz w:val="22"/>
        </w:rPr>
        <w:t>ENIGMA: Expression Noise In Gene-regulatory Mechanisms and Architecture</w:t>
      </w:r>
    </w:p>
    <w:p>
      <w:pPr>
        <w:jc w:val="center"/>
      </w:pPr>
      <w:r>
        <w:rPr>
          <w:sz w:val="22"/>
        </w:rPr>
        <w:t>Aayan Alwani</w:t>
      </w:r>
    </w:p>
    <w:p/>
    <w:p>
      <w:pPr>
        <w:pStyle w:val="Heading1"/>
      </w:pPr>
      <w:r>
        <w:t>Core Question</w:t>
      </w:r>
    </w:p>
    <w:p>
      <w:r>
        <w:t>Do natural changes in Mce3R binding sites across TB strains predict rewiring of stress and lipid-response regulation and associate with worse treatment-relevant outcomes?</w:t>
      </w:r>
    </w:p>
    <w:p>
      <w:pPr>
        <w:pStyle w:val="Heading1"/>
      </w:pPr>
      <w:r>
        <w:t>Background</w:t>
      </w:r>
    </w:p>
    <w:p>
      <w:r>
        <w:t>Mycobacterium tuberculosis remains a leading infectious disease killer, with approximately 1.25 million deaths annually and rising drug resistance. Treatment requires 4–6 months of multidrug therapy, partly because phenotypically tolerant subpopulations survive antibiotic exposure without acquiring genetic resistance. Understanding the regulatory mechanisms that generate these tolerant subpopulations is critical for improving treatment outcomes.</w:t>
      </w:r>
    </w:p>
    <w:p>
      <w:r>
        <w:t>Mce3R (Rv1963c) is a TetR-family transcriptional repressor that controls the mce3 operon (Rv1964–Rv1977), a 14-gene lipid/cholesterol import system linked to host adaptation and intracellular survival. Recent structural work (Panagoda et al., 2024, ACS Chemical Biology) revealed that Mce3R binds an unusual nonpalindromic operator with two 25-bp half-sites of dramatically unequal affinity: a strong site (Kd = 2.4 nM) and a weak site (Kd = 49 nM), separated by a 53-bp spacer. This asymmetric architecture was previously unreported among TetR-family regulators.</w:t>
      </w:r>
    </w:p>
    <w:p>
      <w:r>
        <w:t>Complementary work has established the biological relevance of this system. Pandey et al. (2023) demonstrated that mce3R deletion increases antibiotic persister frequency. Chen et al. (2024) showed Mce3R integrates cholesterol, acidic pH, and low potassium signals for host colonization. Flentie et al. (2019) identified 6-azasteroid compounds targeting the Mce3R pathway that enhanced isoniazid activity 16-fold and bedaquiline approximately 50-fold.</w:t>
      </w:r>
    </w:p>
    <w:p>
      <w:r>
        <w:t>However, no study has examined how natural variation in Mce3R binding sites across clinical TB isolates might rewire this regulatory circuit, or whether such variation associates with treatment-relevant outcomes. With the expansion of TB whole-genome sequencing in clinical management and the availability of large public datasets linking genomes to treatment outcomes, this question is now computationally tractable.</w:t>
      </w:r>
    </w:p>
    <w:p>
      <w:pPr>
        <w:pStyle w:val="Heading1"/>
      </w:pPr>
      <w:r>
        <w:t>Significance</w:t>
      </w:r>
    </w:p>
    <w:p>
      <w:r>
        <w:t>WHO maintains large mutation catalogs for drug resistance, and TB whole-genome sequencing is increasingly standard in clinical settings. However, current WGS interpretation focuses almost exclusively on resistance-conferring mutations in drug target genes. Regulatory-site mutations that alter tolerance, persistence, or stress adaptation are not routinely annotated. This project proposes that mutations in transcription factor binding sites—not just drug targets—may contribute to treatment outcome variation, and that Mce3R is a tractable case study for this broader principle.</w:t>
      </w:r>
    </w:p>
    <w:p>
      <w:r>
        <w:t>If successful, this work could support regimen stratification based on regulatory genotype, help explain why some patients require longer therapy, and establish a framework for adding tolerance-risk annotations to TB sequencing pipelines alongside existing resistance calls.</w:t>
      </w:r>
    </w:p>
    <w:p>
      <w:pPr>
        <w:pStyle w:val="Heading1"/>
      </w:pPr>
      <w:r>
        <w:t>Research Aims</w:t>
      </w:r>
    </w:p>
    <w:p>
      <w:pPr>
        <w:pStyle w:val="Heading2"/>
      </w:pPr>
      <w:r>
        <w:t>Aim 1: Discover candidate Mce3R binding sites genome-wide</w:t>
      </w:r>
    </w:p>
    <w:p>
      <w:r>
        <w:t>Use the Panagoda 2024 asymmetric operator and cryo-EM structural information (PDB 9B7Y) as the seed model for motif discovery and binding-site prediction. Search the H37Rv reference genome and other reference genomes for high-confidence candidate sites, including asymmetric and nonpalindromic sites that standard symmetric TetR-style motif scans would miss.</w:t>
      </w:r>
    </w:p>
    <w:p>
      <w:r>
        <w:rPr>
          <w:b/>
        </w:rPr>
        <w:t xml:space="preserve">Approach: </w:t>
      </w:r>
      <w:r>
        <w:t>MEME motif discovery from yrbE3A orthologs across three mycobacterial species (M. tuberculosis H37Rv, M. bovis, M. marinum), followed by FIMO genome-wide scanning with annotation of nearest genes, intergenic context, and cross-species conservation. The motif model will be calibrated against the experimentally determined strong-site (Kd = 2.4 nM) and weak-site (Kd = 49 nM) affinities using a position-specific energy matrix with structure-informed contact weighting from the cryo-EM data.</w:t>
      </w:r>
    </w:p>
    <w:p>
      <w:r>
        <w:rPr>
          <w:b/>
        </w:rPr>
        <w:t xml:space="preserve">Expected output: </w:t>
      </w:r>
      <w:r>
        <w:t>A ranked atlas of candidate Mce3R binding sites across H37Rv with predicted binding affinities, operator architecture classification (palindromic, asymmetric, single-site), and functional context (regulon membership, pathway annotation).</w:t>
      </w:r>
    </w:p>
    <w:p>
      <w:pPr>
        <w:pStyle w:val="Heading2"/>
      </w:pPr>
      <w:r>
        <w:t>Aim 2: Map Mce3R binding-site variation across clinical isolates</w:t>
      </w:r>
    </w:p>
    <w:p>
      <w:r>
        <w:t>Use public TB whole-genome sequencing datasets to identify mutations in: the canonical Mce3R operator, candidate secondary binding sites discovered in Aim 1, the mce3R coding sequence itself, and promoter regions of Mce3R-regulated genes. Score how much each isolate is predicted to preserve, weaken, strengthen, or rewire Mce3R binding.</w:t>
      </w:r>
    </w:p>
    <w:p>
      <w:r>
        <w:rPr>
          <w:b/>
        </w:rPr>
        <w:t xml:space="preserve">Approach: </w:t>
      </w:r>
      <w:r>
        <w:t>Download variant call files from CRyPTIC (12,289 isolates with quantitative MICs to 13 drugs), TB Portals (28,000+ cases with linked clinical and genomic data), and the Georgia Genome Medicine cohort (4,529 patients with WGS and treatment outcomes over 13 years). Intersect variants with predicted binding sites. For each variant, compute the predicted change in binding free energy (ΔΔG) using the calibrated energy matrix from Aim 1. Classify isolates by predicted Mce3R regulatory status: preserved wild-type binding, weakened binding (derepression), strengthened binding (enhanced repression), or rewired (altered site specificity).</w:t>
      </w:r>
    </w:p>
    <w:p>
      <w:r>
        <w:rPr>
          <w:b/>
        </w:rPr>
        <w:t xml:space="preserve">Expected output: </w:t>
      </w:r>
      <w:r>
        <w:t>A variant-to-regulatory-effect map across thousands of clinical TB isolates, quantifying the predicted impact of each naturally occurring mutation on Mce3R binding and regulon control.</w:t>
      </w:r>
    </w:p>
    <w:p>
      <w:pPr>
        <w:pStyle w:val="Heading2"/>
      </w:pPr>
      <w:r>
        <w:t>Aim 3: Test whether predicted Mce3R rewiring associates with treatment-relevant outcomes</w:t>
      </w:r>
    </w:p>
    <w:p>
      <w:r>
        <w:t>Use public datasets with genomes linked to treatment outcomes to test whether isolates with predicted Mce3R binding-site rewiring are enriched among poor treatment outcomes, delayed culture conversion, and persistence- or tolerance-linked genomic signatures.</w:t>
      </w:r>
    </w:p>
    <w:p>
      <w:r>
        <w:rPr>
          <w:b/>
        </w:rPr>
        <w:t xml:space="preserve">Approach: </w:t>
      </w:r>
      <w:r>
        <w:t>TB Portals provides treatment outcome data (cure, failure, relapse, death) linked to pathogen genomes for thousands of cases. The Georgia Genome Medicine study (2025) demonstrated that bacterial genetic factors beyond classic resistance mutations predict treatment outcomes via genome-wide association. We will test whether Mce3R regulatory-site variation is independently associated with unfavorable outcomes after controlling for known resistance mutations, lineage, and clinical covariates. Secondary analyses will examine association with delayed sputum culture conversion (a proxy for slow clearance) and with other tolerance-associated genomic features.</w:t>
      </w:r>
    </w:p>
    <w:p>
      <w:r>
        <w:rPr>
          <w:b/>
        </w:rPr>
        <w:t xml:space="preserve">Expected output: </w:t>
      </w:r>
      <w:r>
        <w:t>Statistical test of whether Mce3R binding-site variation predicts treatment outcome. If positive, a candidate WGS-derived risk feature that could be incorporated into TB sequencing interpretation pipelines. If negative, an honest null result establishing that Mce3R regulatory variation, while structurally interesting, does not measurably associate with clinical outcome in available datasets.</w:t>
      </w:r>
    </w:p>
    <w:p>
      <w:pPr>
        <w:pStyle w:val="Heading1"/>
      </w:pPr>
      <w:r>
        <w:t>Data Sources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20"/>
              </w:rPr>
              <w:t>Dataset</w:t>
            </w:r>
          </w:p>
        </w:tc>
        <w:tc>
          <w:tcPr>
            <w:tcW w:type="dxa" w:w="2340"/>
          </w:tcPr>
          <w:p>
            <w:r>
              <w:rPr>
                <w:b/>
                <w:sz w:val="20"/>
              </w:rPr>
              <w:t>Isolates</w:t>
            </w:r>
          </w:p>
        </w:tc>
        <w:tc>
          <w:tcPr>
            <w:tcW w:type="dxa" w:w="2340"/>
          </w:tcPr>
          <w:p>
            <w:r>
              <w:rPr>
                <w:b/>
                <w:sz w:val="20"/>
              </w:rPr>
              <w:t>Treatment Outcomes?</w:t>
            </w:r>
          </w:p>
        </w:tc>
        <w:tc>
          <w:tcPr>
            <w:tcW w:type="dxa" w:w="2340"/>
          </w:tcPr>
          <w:p>
            <w:r>
              <w:rPr>
                <w:b/>
                <w:sz w:val="20"/>
              </w:rPr>
              <w:t>Access</w:t>
            </w:r>
          </w:p>
        </w:tc>
      </w:tr>
      <w:tr>
        <w:tc>
          <w:tcPr>
            <w:tcW w:type="dxa" w:w="2340"/>
          </w:tcPr>
          <w:p>
            <w:r>
              <w:rPr>
                <w:sz w:val="20"/>
              </w:rPr>
              <w:t>TB Portals (NIAID)</w:t>
            </w:r>
          </w:p>
        </w:tc>
        <w:tc>
          <w:tcPr>
            <w:tcW w:type="dxa" w:w="2340"/>
          </w:tcPr>
          <w:p>
            <w:r>
              <w:rPr>
                <w:sz w:val="20"/>
              </w:rPr>
              <w:t>28,000+</w:t>
            </w:r>
          </w:p>
        </w:tc>
        <w:tc>
          <w:tcPr>
            <w:tcW w:type="dxa" w:w="2340"/>
          </w:tcPr>
          <w:p>
            <w:r>
              <w:rPr>
                <w:sz w:val="20"/>
              </w:rPr>
              <w:t>Yes (cure/failure/relapse)</w:t>
            </w:r>
          </w:p>
        </w:tc>
        <w:tc>
          <w:tcPr>
            <w:tcW w:type="dxa" w:w="2340"/>
          </w:tcPr>
          <w:p>
            <w:r>
              <w:rPr>
                <w:sz w:val="20"/>
              </w:rPr>
              <w:t>Data Access Request</w:t>
            </w:r>
          </w:p>
        </w:tc>
      </w:tr>
      <w:tr>
        <w:tc>
          <w:tcPr>
            <w:tcW w:type="dxa" w:w="2340"/>
          </w:tcPr>
          <w:p>
            <w:r>
              <w:rPr>
                <w:sz w:val="20"/>
              </w:rPr>
              <w:t>CRyPTIC Consortium</w:t>
            </w:r>
          </w:p>
        </w:tc>
        <w:tc>
          <w:tcPr>
            <w:tcW w:type="dxa" w:w="2340"/>
          </w:tcPr>
          <w:p>
            <w:r>
              <w:rPr>
                <w:sz w:val="20"/>
              </w:rPr>
              <w:t>12,289</w:t>
            </w:r>
          </w:p>
        </w:tc>
        <w:tc>
          <w:tcPr>
            <w:tcW w:type="dxa" w:w="2340"/>
          </w:tcPr>
          <w:p>
            <w:r>
              <w:rPr>
                <w:sz w:val="20"/>
              </w:rPr>
              <w:t>MICs only (no outcomes)</w:t>
            </w:r>
          </w:p>
        </w:tc>
        <w:tc>
          <w:tcPr>
            <w:tcW w:type="dxa" w:w="2340"/>
          </w:tcPr>
          <w:p>
            <w:r>
              <w:rPr>
                <w:sz w:val="20"/>
              </w:rPr>
              <w:t>Public FTP</w:t>
            </w:r>
          </w:p>
        </w:tc>
      </w:tr>
      <w:tr>
        <w:tc>
          <w:tcPr>
            <w:tcW w:type="dxa" w:w="2340"/>
          </w:tcPr>
          <w:p>
            <w:r>
              <w:rPr>
                <w:sz w:val="20"/>
              </w:rPr>
              <w:t>Georgia Genome Medicine</w:t>
            </w:r>
          </w:p>
        </w:tc>
        <w:tc>
          <w:tcPr>
            <w:tcW w:type="dxa" w:w="2340"/>
          </w:tcPr>
          <w:p>
            <w:r>
              <w:rPr>
                <w:sz w:val="20"/>
              </w:rPr>
              <w:t>4,529</w:t>
            </w:r>
          </w:p>
        </w:tc>
        <w:tc>
          <w:tcPr>
            <w:tcW w:type="dxa" w:w="2340"/>
          </w:tcPr>
          <w:p>
            <w:r>
              <w:rPr>
                <w:sz w:val="20"/>
              </w:rPr>
              <w:t>Yes (13-year outcomes + GWAS)</w:t>
            </w:r>
          </w:p>
        </w:tc>
        <w:tc>
          <w:tcPr>
            <w:tcW w:type="dxa" w:w="2340"/>
          </w:tcPr>
          <w:p>
            <w:r>
              <w:rPr>
                <w:sz w:val="20"/>
              </w:rPr>
              <w:t>ENA public repositories</w:t>
            </w:r>
          </w:p>
        </w:tc>
      </w:tr>
    </w:tbl>
    <w:p/>
    <w:p>
      <w:pPr>
        <w:pStyle w:val="Heading1"/>
      </w:pPr>
      <w:r>
        <w:t>Novelty</w:t>
      </w:r>
    </w:p>
    <w:p>
      <w:r>
        <w:t>The individual components of this project build on established work: Mce3R’s role in persistence (Pandey 2023), its asymmetric operator (Panagoda 2024), its connection to host-relevant stress integration (Chen 2024), and the use of WGS for TB outcome prediction (Georgia Genome Medicine study, 2025). What is new is the specific combination:</w:t>
      </w:r>
    </w:p>
    <w:p>
      <w:pPr>
        <w:pStyle w:val="ListBullet"/>
      </w:pPr>
      <w:r>
        <w:t>No study has mapped natural variation in Mce3R binding sites across clinical TB isolates.</w:t>
      </w:r>
    </w:p>
    <w:p>
      <w:pPr>
        <w:pStyle w:val="ListBullet"/>
      </w:pPr>
      <w:r>
        <w:t>No study has tested whether regulatory-site mutations in a persistence-linked TF associate with treatment outcomes.</w:t>
      </w:r>
    </w:p>
    <w:p>
      <w:pPr>
        <w:pStyle w:val="ListBullet"/>
      </w:pPr>
      <w:r>
        <w:t>No study has produced a condition-specific binding-site atlas for Mce3R or any mycobacterial TetR-family regulator.</w:t>
      </w:r>
    </w:p>
    <w:p>
      <w:pPr>
        <w:pStyle w:val="ListBullet"/>
      </w:pPr>
      <w:r>
        <w:t>The broader principle—that regulatory-site variants, not just drug-target mutations, may contribute to treatment outcome variation—is underexplored in TB genomics.</w:t>
      </w:r>
    </w:p>
    <w:p>
      <w:pPr>
        <w:pStyle w:val="Heading1"/>
      </w:pPr>
      <w:r>
        <w:t>Limitations and Risks</w:t>
      </w:r>
    </w:p>
    <w:p>
      <w:pPr>
        <w:pStyle w:val="ListBullet"/>
      </w:pPr>
      <w:r>
        <w:t>Binding-site predictions are based on a single experimentally characterized operator. Predicted affinities for novel sites are estimates, not measurements.</w:t>
      </w:r>
    </w:p>
    <w:p>
      <w:pPr>
        <w:pStyle w:val="ListBullet"/>
      </w:pPr>
      <w:r>
        <w:t>Association between regulatory variants and outcomes may be confounded by lineage, resistance background, or clinical factors. Multivariate correction is planned but cannot eliminate all confounding.</w:t>
      </w:r>
    </w:p>
    <w:p>
      <w:pPr>
        <w:pStyle w:val="ListBullet"/>
      </w:pPr>
      <w:r>
        <w:t>TB Portals data access requires approval and may have variable completeness across contributing sites.</w:t>
      </w:r>
    </w:p>
    <w:p>
      <w:pPr>
        <w:pStyle w:val="ListBullet"/>
      </w:pPr>
      <w:r>
        <w:t>The project is entirely computational. Experimental validation of predicted regulatory effects would require reporter assays or EMSA in a BSL-3 facility, which is beyond the current scope.</w:t>
      </w:r>
    </w:p>
    <w:p>
      <w:pPr>
        <w:pStyle w:val="ListBullet"/>
      </w:pPr>
      <w:r>
        <w:t>Mce3R is one regulator among many that contribute to persistence. This project does not claim to have found the persistence switch.</w:t>
      </w:r>
    </w:p>
    <w:p>
      <w:pPr>
        <w:pStyle w:val="Heading1"/>
      </w:pPr>
      <w:r>
        <w:t>Key References</w:t>
      </w:r>
    </w:p>
    <w:p>
      <w:r>
        <w:rPr>
          <w:b/>
          <w:sz w:val="20"/>
        </w:rPr>
        <w:t xml:space="preserve">1. </w:t>
      </w:r>
      <w:r>
        <w:rPr>
          <w:sz w:val="20"/>
        </w:rPr>
        <w:t>Panagoda GJ, Balázsi G, Sampson NS. 2024. Mce3R binds an asymmetric nonpalindromic operator with unequal affinities. ACS Chemical Biology 19:2580–2592.</w:t>
      </w:r>
    </w:p>
    <w:p>
      <w:r>
        <w:rPr>
          <w:b/>
          <w:sz w:val="20"/>
        </w:rPr>
        <w:t xml:space="preserve">2. </w:t>
      </w:r>
      <w:r>
        <w:rPr>
          <w:sz w:val="20"/>
        </w:rPr>
        <w:t>Pandey R et al. 2023. Deletion of mce3R increases antibiotic persister frequency. Research in Microbiology 174:104082.</w:t>
      </w:r>
    </w:p>
    <w:p>
      <w:r>
        <w:rPr>
          <w:b/>
          <w:sz w:val="20"/>
        </w:rPr>
        <w:t xml:space="preserve">3. </w:t>
      </w:r>
      <w:r>
        <w:rPr>
          <w:sz w:val="20"/>
        </w:rPr>
        <w:t>Chen Z et al. 2024. Mce3R integrates cholesterol, acidic pH, and low potassium responses for host colonization. (Published 2024)</w:t>
      </w:r>
    </w:p>
    <w:p>
      <w:r>
        <w:rPr>
          <w:b/>
          <w:sz w:val="20"/>
        </w:rPr>
        <w:t xml:space="preserve">4. </w:t>
      </w:r>
      <w:r>
        <w:rPr>
          <w:sz w:val="20"/>
        </w:rPr>
        <w:t>Flentie K et al. 2019. 6-Azasteroid compounds target Mce3R pathway; enhance INH 16-fold, BDQ ~50-fold. ACS Infectious Diseases.</w:t>
      </w:r>
    </w:p>
    <w:p>
      <w:r>
        <w:rPr>
          <w:b/>
          <w:sz w:val="20"/>
        </w:rPr>
        <w:t xml:space="preserve">5. </w:t>
      </w:r>
      <w:r>
        <w:rPr>
          <w:sz w:val="20"/>
        </w:rPr>
        <w:t>CRyPTIC Consortium. 2022. Data compendium of 12,289 M. tuberculosis isolates with quantitative resistance phenotypes. PLOS Biology.</w:t>
      </w:r>
    </w:p>
    <w:p>
      <w:r>
        <w:rPr>
          <w:b/>
          <w:sz w:val="20"/>
        </w:rPr>
        <w:t xml:space="preserve">6. </w:t>
      </w:r>
      <w:r>
        <w:rPr>
          <w:sz w:val="20"/>
        </w:rPr>
        <w:t>Avaliani Z et al. 2025. Clinical and bacterial determinants of unfavorable TB outcomes: Georgia 13-year cohort. Genome Medicine.</w:t>
      </w:r>
    </w:p>
    <w:p>
      <w:r>
        <w:rPr>
          <w:b/>
          <w:sz w:val="20"/>
        </w:rPr>
        <w:t xml:space="preserve">7. </w:t>
      </w:r>
      <w:r>
        <w:rPr>
          <w:sz w:val="20"/>
        </w:rPr>
        <w:t>Santangelo MP et al. 2009. Mce3R regulon characterization. Microbiology.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