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Fitness Landscape of Operator Asymmetry: How Mycobacterium tuberculosis Tunes Persistence Through Binding-Site Architecture</w:t>
      </w:r>
    </w:p>
    <w:p>
      <w:pPr>
        <w:jc w:val="center"/>
      </w:pPr>
      <w:r>
        <w:rPr>
          <w:i/>
          <w:sz w:val="22"/>
        </w:rPr>
        <w:t>ENIGMA: Expression Noise In Gene-regulatory Mechanisms and Architecture</w:t>
      </w:r>
    </w:p>
    <w:p>
      <w:pPr>
        <w:jc w:val="center"/>
      </w:pPr>
      <w:r>
        <w:rPr>
          <w:sz w:val="22"/>
        </w:rPr>
        <w:t>Aayan Alwani</w:t>
      </w:r>
    </w:p>
    <w:p>
      <w:pPr>
        <w:jc w:val="center"/>
      </w:pPr>
      <w:r>
        <w:rPr>
          <w:color w:val="666666"/>
          <w:sz w:val="20"/>
        </w:rPr>
        <w:t>Proposal v6 — March 2026</w:t>
      </w:r>
    </w:p>
    <w:p/>
    <w:p>
      <w:pPr>
        <w:pStyle w:val="Heading1"/>
      </w:pPr>
      <w:r>
        <w:t>Project Summary</w:t>
      </w:r>
    </w:p>
    <w:p>
      <w:r>
        <w:t>This project tests whether the unusual asymmetric Mce3R operator described in recent structural work (Panagoda et al., 2024) is locally tuned to generate persistence-relevant state switching under host-like stress regimes. Rather than asking only whether asymmetry increases noise, we map the local sequence–phenotype tradeoff landscape, quantify long-lived low-expression state occupancy under multiple survival models, and identify the environmental schedules under which asymmetry is predicted to help or hurt survival across repeated antibiotic exposures.</w:t>
      </w:r>
    </w:p>
    <w:p>
      <w:pPr>
        <w:pStyle w:val="Heading1"/>
      </w:pPr>
      <w:r>
        <w:t>Background</w:t>
      </w:r>
    </w:p>
    <w:p>
      <w:r>
        <w:t>Mycobacterium tuberculosis kills approximately 1.25 million people annually. Treatment requires 4–6 months of multidrug therapy, partly because phenotypically tolerant subpopulations—persisters—survive antibiotic exposure without acquiring genetic resistance. These survivors seed relapse and complicate treatment shortening efforts. Understanding the regulatory mechanisms that generate tolerant subpopulations is critical for improving outcomes.</w:t>
      </w:r>
    </w:p>
    <w:p>
      <w:r>
        <w:t>Mce3R (Rv1963c) is a TetR-family transcriptional repressor that controls the mce3 operon (Rv1964–Rv1977), a 14-gene lipid and cholesterol import system. Panagoda et al. (2024) resolved the cryo-EM structure of Mce3R bound to its operator (PDB 9B7Y) and discovered an unusual nonpalindromic architecture: two 25-bp half-sites with dramatically unequal affinity (Kd = 2.4 nM strong site, Kd = 49 nM weak site, a 20.4-fold difference). This asymmetric assembly was previously unreported among TetR-family regulators.</w:t>
      </w:r>
    </w:p>
    <w:p>
      <w:r>
        <w:t>Complementary work establishes the biological relevance of this system. Pandey et al. (2023) showed that mce3R deletion increases antibiotic persister frequency. Chen et al. (2024) demonstrated that Mce3R integrates cholesterol, acidic pH, and low potassium signals relevant to macrophage survival. Flentie et al. (2019) identified compounds targeting the Mce3R pathway that enhanced isoniazid activity 16-fold.</w:t>
      </w:r>
    </w:p>
    <w:p>
      <w:r>
        <w:t>The established literature shows that cis-regulatory architecture shapes gene expression noise (Chowdhury et al., 2021; Lengyel &amp; Morelli, 2017) and that noise drives persistence (Balázsi et al., 2011; Quigley &amp; Lewis, 2022). What has not been established is whether the specific Mce3R operator asymmetry sits at a functionally important point in the sequence–phenotype landscape—a tradeoff optimum between growth and survival—or whether it is simply an arbitrary configuration with no adaptive significance. This project addresses that gap.</w:t>
      </w:r>
    </w:p>
    <w:p>
      <w:pPr>
        <w:pStyle w:val="Heading1"/>
      </w:pPr>
      <w:r>
        <w:t>Significance</w:t>
      </w:r>
    </w:p>
    <w:p>
      <w:r>
        <w:t>If the wild-type Mce3R operator occupies a privileged region of the local fitness landscape—high persistence benefit without catastrophic growth cost—that is evidence of adaptive tuning, not just structural curiosity. If asymmetry specifically creates rare, long-lived excursions into a survival-relevant expression state (rather than generic noise inflation), that identifies a precise mechanistic target. And if this advantage depends on specific host-environment schedules, that constrains when during infection the mechanism matters most.</w:t>
      </w:r>
    </w:p>
    <w:p>
      <w:r>
        <w:t>These findings would inform: (1) whether operator architecture is a rational drug target for anti-persistence therapy, (2) which host conditions to target therapeutically, and (3) the broader question of whether mycobacterial regulators use binding-site asymmetry as a recurrent design principle for stress-circuit tuning.</w:t>
      </w:r>
    </w:p>
    <w:p>
      <w:r>
        <w:t>This project does not claim to have found the persistence switch. TB persistence biology is mechanistically diverse with many non-Mce3R contributors. The contribution is a rigorous computational dissection of one biologically relevant, structurally characterized operator system.</w:t>
      </w:r>
    </w:p>
    <w:p>
      <w:pPr>
        <w:pStyle w:val="Heading1"/>
      </w:pPr>
      <w:r>
        <w:t>Research Aims</w:t>
      </w:r>
    </w:p>
    <w:p>
      <w:pPr>
        <w:pStyle w:val="Heading2"/>
      </w:pPr>
      <w:r>
        <w:t>Aim 1: Map the local sequence–phenotype tradeoff landscape around the Mce3R operator</w:t>
      </w:r>
    </w:p>
    <w:p>
      <w:r>
        <w:t>Enumerate all single-base variants across both 25-bp half-sites (~150 mutations), split into three mechanistic classes: mutations predicted to weaken the strong site, mutations predicted to strengthen the weak site, and mutations predicted to alter cooperativity without strongly changing single-site affinity. For each variant, predict the binding affinity change using three model tiers—a simple additive energy matrix, a structure-informed contact model referencing PDB 9B7Y, and an uncertainty envelope sampling plausible ΔΔG ranges—then simulate gene expression via Gillespie stochastic simulation algorithm (SSA) and compute growth-related expression and modeled survival metrics.</w:t>
      </w:r>
    </w:p>
    <w:p>
      <w:r>
        <w:t>Plot the Pareto front between growth and persistence across all three model tiers. Key conclusions must survive across all three. Identify the minimal DNA mutations predicted to equalize binding without destroying it—specific, testable predictions connecting structure to phenotype.</w:t>
      </w:r>
    </w:p>
    <w:p>
      <w:r>
        <w:t>Compare operator sequences across M. tuberculosis, M. bovis, and M. marinum orthologs, and explicitly evaluate three explanations for conserved asymmetry: adaptive tuning (asymmetry-erasing mutations reduce persistence), structural constraint (they break folding or assembly), and historical contingency (insufficient divergence time). Present evidence for each rather than assuming the answer.</w:t>
      </w:r>
    </w:p>
    <w:p>
      <w:r>
        <w:rPr>
          <w:b/>
          <w:i/>
        </w:rPr>
        <w:t xml:space="preserve">Falsification criterion: </w:t>
      </w:r>
      <w:r>
        <w:t>If wild-type does not sit near a Pareto-efficient region of the tradeoff landscape under any model tier, the adaptive tuning hypothesis weakens.</w:t>
      </w:r>
    </w:p>
    <w:p>
      <w:pPr>
        <w:pStyle w:val="Heading2"/>
      </w:pPr>
      <w:r>
        <w:t>Aim 2: Characterize the state-switching logic that distinguishes asymmetry-driven noise from generic noise inflation</w:t>
      </w:r>
    </w:p>
    <w:p>
      <w:r>
        <w:t>Using synthetic single-cell trajectories generated under calibrated stochastic models, compute threshold-free metrics: probability of entering a low-expression regime, mean dwell time in that regime, tail probability of long-lived excursions (&gt;2 hr, &gt;6 hr, &gt;12 hr), and occupancy of low-expression states during drug-exposure-length windows. Report both threshold-free metrics and threshold-based sensitivity analyses across a range of cutoffs.</w:t>
      </w:r>
    </w:p>
    <w:p>
      <w:r>
        <w:t>Evaluate survival under three independent killing models run in parallel: a hard-threshold model (cells below expression level X die), a probabilistic hazard model (lower expression = lower kill probability per hour of exposure), and a dwell-time-dependent model (cells must occupy a low-expression state for &gt;N hours continuously to survive). Report which conclusions hold across all three killing models. If asymmetry only wins under one model, say so.</w:t>
      </w:r>
    </w:p>
    <w:p>
      <w:r>
        <w:t>Compare four architectures designed to isolate the mechanism: (1) asymmetric wild-type, (2) symmetric equal-affinity operator, (3) asymmetric operator tuned to match the mean occupancy of wild-type, (4) symmetric operator tuned to match the same total variance as wild-type. The fourth comparison answers: is the effect really about asymmetry-driven state switching, or just more noise by any route?</w:t>
      </w:r>
    </w:p>
    <w:p>
      <w:r>
        <w:rPr>
          <w:b/>
          <w:i/>
        </w:rPr>
        <w:t xml:space="preserve">Falsification criterion: </w:t>
      </w:r>
      <w:r>
        <w:t>If the variance-matched symmetric operator reproduces the same long-dwell occupancy as wild-type asymmetric under all three killing models, then asymmetry itself is not the mechanism.</w:t>
      </w:r>
    </w:p>
    <w:p>
      <w:pPr>
        <w:pStyle w:val="Heading2"/>
      </w:pPr>
      <w:r>
        <w:t>Aim 3: Identify host-environment regimes in which asymmetry is predicted to be beneficial, neutral, or costly across repeated treatment cycles</w:t>
      </w:r>
    </w:p>
    <w:p>
      <w:r>
        <w:t>Replace single-snapshot persister fraction with survival across repeated drug pulses as the primary outcome. Model 3–5 rounds of antibiotic exposure: kill susceptible cells according to each killing model, allow survivors to regrow and re-establish expression distributions, repeat. This is closer to what drives relapse than a one-time measurement.</w:t>
      </w:r>
    </w:p>
    <w:p>
      <w:r>
        <w:t>Build a phase diagram mapping operator asymmetry (Kd ratio) against two kinds of environments: static conditions (cholesterol, acidic pH, oxidative stress, combined conditions—modeled as scalar multipliers on binding rate and protein turnover, not a mechanistic host model) and time-varying schedules (antibiotic pulses of 2, 6, 12, and 24 hours layered onto those backgrounds). For each combination, compute growth cost and multi-round survival benefit.</w:t>
      </w:r>
    </w:p>
    <w:p>
      <w:r>
        <w:t>The prediction: asymmetry is beneficial under specific pulsed-stress combinations but neutral or harmful during sustained growth or chronic non-pulsed antibiotic exposure.</w:t>
      </w:r>
    </w:p>
    <w:p>
      <w:r>
        <w:rPr>
          <w:b/>
          <w:i/>
        </w:rPr>
        <w:t xml:space="preserve">Falsification criterion: </w:t>
      </w:r>
      <w:r>
        <w:t>If asymmetry is never strongly beneficial under any realistic stress schedule tested, including repeated pulsed exposure, the adaptive story collapses.</w:t>
      </w:r>
    </w:p>
    <w:p>
      <w:pPr>
        <w:pStyle w:val="Heading1"/>
      </w:pPr>
      <w:r>
        <w:t>Confidence Tiers for Results</w:t>
      </w:r>
    </w:p>
    <w:p>
      <w:r>
        <w:rPr>
          <w:b/>
        </w:rPr>
        <w:t xml:space="preserve">Tier 1 (robust qualitative): </w:t>
      </w:r>
      <w:r>
        <w:t>Wild-type asymmetric operator tends to increase occupancy of long-lived low-expression states versus matched controls, and this holds across multiple survival models.</w:t>
      </w:r>
    </w:p>
    <w:p>
      <w:r>
        <w:rPr>
          <w:b/>
        </w:rPr>
        <w:t xml:space="preserve">Tier 2 (semi-quantitative): </w:t>
      </w:r>
      <w:r>
        <w:t>This effect persists across parameter uncertainty (three model tiers, three killing models, ±50% sensitivity analysis on 7 kinetic parameters).</w:t>
      </w:r>
    </w:p>
    <w:p>
      <w:r>
        <w:rPr>
          <w:b/>
        </w:rPr>
        <w:t xml:space="preserve">Tier 3 (speculative): </w:t>
      </w:r>
      <w:r>
        <w:t>Specific survival advantage magnitudes under specific host conditions and antibiotic schedules. These are model predictions contingent on parameter choices and survival model assumptions.</w:t>
      </w:r>
    </w:p>
    <w:p>
      <w:pPr>
        <w:pStyle w:val="Heading1"/>
      </w:pPr>
      <w:r>
        <w:t>Computational Methods</w:t>
      </w:r>
    </w:p>
    <w:p>
      <w:pPr>
        <w:pStyle w:val="Heading2"/>
      </w:pPr>
      <w:r>
        <w:t>Stochastic Simulation</w:t>
      </w:r>
    </w:p>
    <w:p>
      <w:r>
        <w:t>Gillespie stochastic simulation algorithm with Numba JIT acceleration. 4-state operator model (unbound, strong-site bound, weak-site bound, both bound) with 12 reactions: 8 operator binding/unbinding transitions, transcription (state-dependent rate), translation, mRNA decay, and protein decay. All kinetic parameters constrained by published measurements: Kd values from Panagoda 2024, mRNA half-life from Rustad 2013, translation rate from Taniguchi 2010 (adjusted for mycobacteria). 50,000 cells per condition, 30,000 min simulation with 15,000 min burn-in.</w:t>
      </w:r>
    </w:p>
    <w:p>
      <w:pPr>
        <w:pStyle w:val="Heading2"/>
      </w:pPr>
      <w:r>
        <w:t>Energy Matrix and Affinity Prediction</w:t>
      </w:r>
    </w:p>
    <w:p>
      <w:r>
        <w:t>Position-specific energy matrix derived from MEME-discovered position weight matrix, calibrated to experimental Kd values using two independent offsets (one per half-site). Three model tiers: additive energy matrix, structure-informed contact weighting from PDB 9B7Y cryo-EM coordinates, and uncertainty envelope sampling ΔΔG ranges of ±1 kcal/mol per position.</w:t>
      </w:r>
    </w:p>
    <w:p>
      <w:pPr>
        <w:pStyle w:val="Heading2"/>
      </w:pPr>
      <w:r>
        <w:t>Thermodynamic Model</w:t>
      </w:r>
    </w:p>
    <w:p>
      <w:r>
        <w:t>4-state partition function with Boltzmann weights. Cooperativity (ω) and spacer penalty (ΔG_spacer) inferred via Bayesian MCMC using emcee (32 walkers, 5,000 steps, 1,000 burn-in). Fitting targets: observed mean protein in asymmetric (Condition A) and symmetric (Condition B) simulations.</w:t>
      </w:r>
    </w:p>
    <w:p>
      <w:pPr>
        <w:pStyle w:val="Heading2"/>
      </w:pPr>
      <w:r>
        <w:t>Survival Models</w:t>
      </w:r>
    </w:p>
    <w:p>
      <w:r>
        <w:t>Three independent killing models evaluated in parallel: (1) hard-threshold—cells below expression level X die upon antibiotic exposure; (2) probabilistic hazard—kill probability per hour is a decreasing function of expression level; (3) dwell-time-dependent—cells must occupy a low-expression state for &gt;N continuous hours to survive. Repeated-pulse protocol: 3–5 rounds of exposure with regrowth between rounds.</w:t>
      </w:r>
    </w:p>
    <w:p>
      <w:pPr>
        <w:pStyle w:val="Heading2"/>
      </w:pPr>
      <w:r>
        <w:t>Environmental Conditions</w:t>
      </w:r>
    </w:p>
    <w:p>
      <w:r>
        <w:t>Modeled as scalar multipliers on binding rate (k_on) and protein turnover (γ_protein)—not mechanistic host models. Conditions: baseline (in vitro), cholesterol (Mce3R binding reduced 3-fold), acidic pH (binding reduced + turnover increased), oxidative stress, combined macrophage-like, and pulsed antibiotic schedules (2, 6, 12, 24 hr pulses).</w:t>
      </w:r>
    </w:p>
    <w:p>
      <w:pPr>
        <w:pStyle w:val="Heading1"/>
      </w:pPr>
      <w:r>
        <w:t>Preliminary Results</w:t>
      </w:r>
    </w:p>
    <w:p>
      <w:r>
        <w:t>The computational infrastructure for this project is complete and has produced preliminary results under the original (pre-landscape) framing. These establish that the pipeline works and provide baseline numbers that the new aims will extend:</w:t>
      </w:r>
    </w:p>
    <w:p>
      <w:pPr>
        <w:pStyle w:val="ListBullet"/>
      </w:pPr>
      <w:r>
        <w:t>Gillespie SSA: 50,000 cells simulated per condition (A: asymmetric, B: symmetric, C: single-site, D: unregulated). The model predicts CV = 0.187 for asymmetric vs 0.157 for symmetric (approximately 19% more noise; sensitive to block fraction assumptions).</w:t>
      </w:r>
    </w:p>
    <w:p>
      <w:pPr>
        <w:pStyle w:val="ListBullet"/>
      </w:pPr>
      <w:r>
        <w:t>Asymmetry sweep: 10 Kd ratios at constant geometric mean. CV and intermediate-phenotype fraction increase with asymmetry ratio.</w:t>
      </w:r>
    </w:p>
    <w:p>
      <w:pPr>
        <w:pStyle w:val="ListBullet"/>
      </w:pPr>
      <w:r>
        <w:t>Thermodynamic model: MCMC-inferred cooperativity ω ≈ 1.08 with wide posterior (0.20–5.89), consistent with near-independent binding.</w:t>
      </w:r>
    </w:p>
    <w:p>
      <w:pPr>
        <w:pStyle w:val="ListBullet"/>
      </w:pPr>
      <w:r>
        <w:t>Environmental perturbations: 24 conditions (3 architectures × 4 environments × 2 models). Persister enrichment estimated at 30–40× under host-like stress (model-dependent).</w:t>
      </w:r>
    </w:p>
    <w:p>
      <w:pPr>
        <w:pStyle w:val="ListBullet"/>
      </w:pPr>
      <w:r>
        <w:t>Temporal dynamics: Autocorrelation time 18.7 hr (asymmetric) vs 16.7 hr (symmetric). Asymmetric operator dwell times differ between State 1 and State 2; symmetric does not.</w:t>
      </w:r>
    </w:p>
    <w:p>
      <w:pPr>
        <w:pStyle w:val="ListBullet"/>
      </w:pPr>
      <w:r>
        <w:t>Genome-wide scan: 68 TetR-family regulators identified in H37Rv. 6% perfectly palindromic, 57% with detectable asymmetry, 37% single-site or unresolved.</w:t>
      </w:r>
    </w:p>
    <w:p>
      <w:r>
        <w:t>All numbers are model outputs. Language throughout uses "the model predicts," "consistent with," and "we propose." Sensitivity analysis across ±50% variation of 7 kinetic parameters confirms the qualitative result (CV_asymmetric &gt; CV_symmetric) is robust.</w:t>
      </w:r>
    </w:p>
    <w:p>
      <w:pPr>
        <w:pStyle w:val="Heading1"/>
      </w:pPr>
      <w:r>
        <w:t>Novelty</w:t>
      </w:r>
    </w:p>
    <w:p>
      <w:r>
        <w:t>The individual links in this chain are established: asymmetric binding sites increase noise (Lengyel &amp; Morelli, 2017), noise generates persisters (Balázsi, 2011), and Mce3R is linked to persistence (Pandey, 2023). What is new:</w:t>
      </w:r>
    </w:p>
    <w:p>
      <w:pPr>
        <w:pStyle w:val="ListBullet"/>
      </w:pPr>
      <w:r>
        <w:t>No study has mapped the local sequence–phenotype tradeoff landscape around any structurally resolved asymmetric bacterial operator with real Kd values.</w:t>
      </w:r>
    </w:p>
    <w:p>
      <w:pPr>
        <w:pStyle w:val="ListBullet"/>
      </w:pPr>
      <w:r>
        <w:t>No study has tested whether asymmetric operators create qualitatively different state-switching behavior (rare long-lived excursions) versus generic noise inflation.</w:t>
      </w:r>
    </w:p>
    <w:p>
      <w:pPr>
        <w:pStyle w:val="ListBullet"/>
      </w:pPr>
      <w:r>
        <w:t>No study has built environment-specific phase diagrams predicting where operator asymmetry helps versus hurts across repeated antibiotic pulses.</w:t>
      </w:r>
    </w:p>
    <w:p>
      <w:pPr>
        <w:pStyle w:val="ListBullet"/>
      </w:pPr>
      <w:r>
        <w:t>No study has explicitly evaluated adaptive tuning versus structural constraint versus historical contingency for a specific operator architecture.</w:t>
      </w:r>
    </w:p>
    <w:p>
      <w:pPr>
        <w:pStyle w:val="Heading1"/>
      </w:pPr>
      <w:r>
        <w:t>Limitations</w:t>
      </w:r>
    </w:p>
    <w:p>
      <w:pPr>
        <w:pStyle w:val="ListBullet"/>
      </w:pPr>
      <w:r>
        <w:t>This is entirely computational. Experimental validation would require reporter assays or EMSA with mutant operators in a BSL-3 facility, beyond the current scope.</w:t>
      </w:r>
    </w:p>
    <w:p>
      <w:pPr>
        <w:pStyle w:val="ListBullet"/>
      </w:pPr>
      <w:r>
        <w:t>Binding-affinity predictions for mutant operators are estimates from a calibrated energy matrix, not measurements. The three-tier modeling approach (additive, structure-informed, uncertainty envelope) is designed to identify conclusions robust to this uncertainty.</w:t>
      </w:r>
    </w:p>
    <w:p>
      <w:pPr>
        <w:pStyle w:val="ListBullet"/>
      </w:pPr>
      <w:r>
        <w:t>Environmental conditions are modeled as scalar multipliers, not mechanistic host models. We do not simulate intracellular dynamics, immune response, or pharmacokinetics.</w:t>
      </w:r>
    </w:p>
    <w:p>
      <w:pPr>
        <w:pStyle w:val="ListBullet"/>
      </w:pPr>
      <w:r>
        <w:t>Mce3R is one regulator among many contributing to TB persistence. This project characterizes one system, not the full persistence landscape.</w:t>
      </w:r>
    </w:p>
    <w:p>
      <w:pPr>
        <w:pStyle w:val="ListBullet"/>
      </w:pPr>
      <w:r>
        <w:t>The survival models (threshold, hazard, dwell-time) are abstractions. Real antibiotic killing involves drug penetration, metabolic state, and cell-cycle effects not captured here.</w:t>
      </w:r>
    </w:p>
    <w:p>
      <w:pPr>
        <w:pStyle w:val="ListBullet"/>
      </w:pPr>
      <w:r>
        <w:t>All quantitative predictions (fold-changes, persister fractions, IC50 values) are model-dependent and should be interpreted as order-of-magnitude estimates, not precise values.</w:t>
      </w:r>
    </w:p>
    <w:p>
      <w:pPr>
        <w:pStyle w:val="Heading1"/>
      </w:pPr>
      <w:r>
        <w:t>Future Directions</w:t>
      </w:r>
    </w:p>
    <w:p>
      <w:r>
        <w:t>If the computational predictions hold, the natural next steps are:</w:t>
      </w:r>
    </w:p>
    <w:p>
      <w:pPr>
        <w:pStyle w:val="ListBullet"/>
      </w:pPr>
      <w:r>
        <w:t>Experimental validation: construct symmetric and asymmetry-erasing operator mutants in M. tuberculosis or M. smegmatis, measure expression noise via fluorescent reporters, and test persister frequency under antibiotic challenge.</w:t>
      </w:r>
    </w:p>
    <w:p>
      <w:pPr>
        <w:pStyle w:val="ListBullet"/>
      </w:pPr>
      <w:r>
        <w:t>Clinical genomics: map Mce3R binding-site variation across clinical TB isolates using public WGS datasets (TB Portals, CRyPTIC) and test whether predicted regulatory rewiring associates with treatment outcomes.</w:t>
      </w:r>
    </w:p>
    <w:p>
      <w:pPr>
        <w:pStyle w:val="ListBullet"/>
      </w:pPr>
      <w:r>
        <w:t>Broader principle: apply the same landscape-mapping approach to other TetR-family regulators in mycobacteria to test whether asymmetric operator architecture is a recurrent design principle for stress-circuit tuning.</w:t>
      </w:r>
    </w:p>
    <w:p>
      <w:pPr>
        <w:pStyle w:val="Heading1"/>
      </w:pPr>
      <w:r>
        <w:t>Key References</w:t>
      </w:r>
    </w:p>
    <w:p>
      <w:r>
        <w:rPr>
          <w:b/>
          <w:sz w:val="20"/>
        </w:rPr>
        <w:t xml:space="preserve">1. </w:t>
      </w:r>
      <w:r>
        <w:rPr>
          <w:sz w:val="20"/>
        </w:rPr>
        <w:t>Panagoda GJ, Balázsi G, Sampson NS. 2024. Asymmetric Mce3R–DNA assembly with unequal half-site affinities. ACS Chemical Biology 19:2580–2592. PDB 9B7Y.</w:t>
      </w:r>
    </w:p>
    <w:p>
      <w:r>
        <w:rPr>
          <w:b/>
          <w:sz w:val="20"/>
        </w:rPr>
        <w:t xml:space="preserve">2. </w:t>
      </w:r>
      <w:r>
        <w:rPr>
          <w:sz w:val="20"/>
        </w:rPr>
        <w:t>Pandey R et al. 2023. Deletion of mce3R increases antibiotic persister frequency in M. tuberculosis. Research in Microbiology 174:104082.</w:t>
      </w:r>
    </w:p>
    <w:p>
      <w:r>
        <w:rPr>
          <w:b/>
          <w:sz w:val="20"/>
        </w:rPr>
        <w:t xml:space="preserve">3. </w:t>
      </w:r>
      <w:r>
        <w:rPr>
          <w:sz w:val="20"/>
        </w:rPr>
        <w:t>Chen Z et al. 2024. Mce3R integrates cholesterol, acidic pH, and potassium signals for host colonization.</w:t>
      </w:r>
    </w:p>
    <w:p>
      <w:r>
        <w:rPr>
          <w:b/>
          <w:sz w:val="20"/>
        </w:rPr>
        <w:t xml:space="preserve">4. </w:t>
      </w:r>
      <w:r>
        <w:rPr>
          <w:sz w:val="20"/>
        </w:rPr>
        <w:t>Flentie K et al. 2019. 6-Azasteroid compounds target Mce3R pathway; enhance isoniazid 16-fold. ACS Infectious Diseases.</w:t>
      </w:r>
    </w:p>
    <w:p>
      <w:r>
        <w:rPr>
          <w:b/>
          <w:sz w:val="20"/>
        </w:rPr>
        <w:t xml:space="preserve">5. </w:t>
      </w:r>
      <w:r>
        <w:rPr>
          <w:sz w:val="20"/>
        </w:rPr>
        <w:t>Balázsi G et al. 2011. Stochastic gene expression and cellular differentiation. Cell 144:910–925.</w:t>
      </w:r>
    </w:p>
    <w:p>
      <w:r>
        <w:rPr>
          <w:b/>
          <w:sz w:val="20"/>
        </w:rPr>
        <w:t xml:space="preserve">6. </w:t>
      </w:r>
      <w:r>
        <w:rPr>
          <w:sz w:val="20"/>
        </w:rPr>
        <w:t>Lengyel M, Morelli MJ. 2017. Multiple binding sites shape noise in transcription factor regulatory circuits. Physical Review E.</w:t>
      </w:r>
    </w:p>
    <w:p>
      <w:r>
        <w:rPr>
          <w:b/>
          <w:sz w:val="20"/>
        </w:rPr>
        <w:t xml:space="preserve">7. </w:t>
      </w:r>
      <w:r>
        <w:rPr>
          <w:sz w:val="20"/>
        </w:rPr>
        <w:t>Chowdhury D et al. 2021. Cis-regulatory architecture shapes expression noise. Frontiers in Genetics.</w:t>
      </w:r>
    </w:p>
    <w:p>
      <w:r>
        <w:rPr>
          <w:b/>
          <w:sz w:val="20"/>
        </w:rPr>
        <w:t xml:space="preserve">8. </w:t>
      </w:r>
      <w:r>
        <w:rPr>
          <w:sz w:val="20"/>
        </w:rPr>
        <w:t>Quigley J, Lewis K. 2022. Noise-driven persistence in M. tuberculosis. Microbiology Spectrum.</w:t>
      </w:r>
    </w:p>
    <w:p>
      <w:r>
        <w:rPr>
          <w:b/>
          <w:sz w:val="20"/>
        </w:rPr>
        <w:t xml:space="preserve">9. </w:t>
      </w:r>
      <w:r>
        <w:rPr>
          <w:sz w:val="20"/>
        </w:rPr>
        <w:t>Rustad TR et al. 2013. Mycobacterial mRNA half-lives. Nucleic Acids Research.</w:t>
      </w:r>
    </w:p>
    <w:p>
      <w:r>
        <w:rPr>
          <w:b/>
          <w:sz w:val="20"/>
        </w:rPr>
        <w:t xml:space="preserve">10. </w:t>
      </w:r>
      <w:r>
        <w:rPr>
          <w:sz w:val="20"/>
        </w:rPr>
        <w:t>Santangelo MP et al. 2009. Mce3R regulon characterization. Microbiology.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