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56"/>
        </w:rPr>
        <w:t>ENIGMA Project Plan</w:t>
      </w:r>
    </w:p>
    <w:p>
      <w:pPr>
        <w:jc w:val="center"/>
      </w:pPr>
      <w:r>
        <w:rPr>
          <w:rFonts w:ascii="Calibri" w:hAnsi="Calibri"/>
          <w:color w:val="2E5090"/>
          <w:sz w:val="28"/>
        </w:rPr>
        <w:t>Temporal Noise Dynamics and Therapeutic Noise Quenching</w:t>
        <w:br/>
        <w:t>in the Asymmetric Mce3R Operator of Mycobacterium tuberculosis</w:t>
      </w:r>
    </w:p>
    <w:p/>
    <w:p>
      <w:pPr>
        <w:jc w:val="center"/>
      </w:pPr>
      <w:r>
        <w:rPr>
          <w:rFonts w:ascii="Calibri" w:hAnsi="Calibri"/>
          <w:i/>
          <w:color w:val="555555"/>
          <w:sz w:val="26"/>
        </w:rPr>
        <w:t>Detailed Execution Plan — Week-by-Week</w:t>
      </w:r>
    </w:p>
    <w:p>
      <w:r>
        <w:br w:type="page"/>
      </w:r>
    </w:p>
    <w:p>
      <w:pPr>
        <w:jc w:val="left"/>
      </w:pPr>
      <w:r>
        <w:rPr>
          <w:rFonts w:ascii="Calibri" w:hAnsi="Calibri"/>
          <w:b/>
          <w:color w:val="1A1A2E"/>
          <w:sz w:val="32"/>
        </w:rPr>
        <w:t>1. PROJECT OVERVIEW</w:t>
      </w:r>
    </w:p>
    <w:p>
      <w:r>
        <w:rPr>
          <w:rFonts w:ascii="Calibri" w:hAnsi="Calibri"/>
          <w:sz w:val="22"/>
        </w:rPr>
        <w:t>This plan covers the complete execution of the ENIGMA project across 10 phases and approximately 16 weeks. The project builds on existing completed work (Phases 1–7) and adds two novel analysis modules: temporal noise dynamics (Phase 8) and therapeutic noise quenching (Phase 9), plus updated figures (Phase 10). The plan is organized into four tracks: (A) existing completed work that serves as foundation, (B) new code additions for Phases 8–10, (C) analysis execution and figure generation, and (D) manuscript preparation and competition submission materials. Each week has explicit deliverables, time estimates, and dependency links to ensure the project remains on schedule for the Regeneron STS submission deadline.</w:t>
      </w:r>
    </w:p>
    <w:p>
      <w:pPr>
        <w:spacing w:before="240" w:after="80"/>
      </w:pPr>
      <w:r>
        <w:rPr>
          <w:rFonts w:ascii="Calibri" w:hAnsi="Calibri"/>
          <w:b/>
          <w:color w:val="2E5090"/>
          <w:sz w:val="24"/>
        </w:rPr>
        <w:t>Current Project Status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Component</w:t>
            </w:r>
          </w:p>
        </w:tc>
        <w:tc>
          <w:tcPr>
            <w:tcW w:type="dxa" w:w="144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Status</w:t>
            </w:r>
          </w:p>
        </w:tc>
        <w:tc>
          <w:tcPr>
            <w:tcW w:type="dxa" w:w="259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Files</w:t>
            </w:r>
          </w:p>
        </w:tc>
        <w:tc>
          <w:tcPr>
            <w:tcW w:type="dxa" w:w="244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Notes</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1: Motif Discovery</w:t>
            </w:r>
          </w:p>
        </w:tc>
        <w:tc>
          <w:tcPr>
            <w:tcW w:type="dxa" w:w="14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phase1_pipeline/*.py</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1,442 sites found, top hit p=1.1e-11</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2: Gillespie Simulation</w:t>
            </w:r>
          </w:p>
        </w:tc>
        <w:tc>
          <w:tcPr>
            <w:tcW w:type="dxa" w:w="14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phase2_simulation/*.py</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50K cells x 4 conditions, CV(A)=0.187</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3: Statistical Analysis</w:t>
            </w:r>
          </w:p>
        </w:tc>
        <w:tc>
          <w:tcPr>
            <w:tcW w:type="dxa" w:w="14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phase3_analysis/*.py</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Bootstrap, KS, Cohen’s d, sensitivity</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4: Manuscript Figures 1–8</w:t>
            </w:r>
          </w:p>
        </w:tc>
        <w:tc>
          <w:tcPr>
            <w:tcW w:type="dxa" w:w="14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phase4_figures/*.py</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8 publication-quality PNGs</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5: Thermodynamic Calibration</w:t>
            </w:r>
          </w:p>
        </w:tc>
        <w:tc>
          <w:tcPr>
            <w:tcW w:type="dxa" w:w="14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phase5_thermodynamic/*.py</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omega=1.08, MCMC converged</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6: Environmental Extensions</w:t>
            </w:r>
          </w:p>
        </w:tc>
        <w:tc>
          <w:tcPr>
            <w:tcW w:type="dxa" w:w="14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phase6_environmental/*.py</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24 conditions, MI, persistence</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7: Extended Figures 9–14</w:t>
            </w:r>
          </w:p>
        </w:tc>
        <w:tc>
          <w:tcPr>
            <w:tcW w:type="dxa" w:w="14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phase7_extended_figures/*.py</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6 extended PNGs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Temporal Dynamics</w:t>
            </w:r>
          </w:p>
        </w:tc>
        <w:tc>
          <w:tcPr>
            <w:tcW w:type="dxa" w:w="14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NOT STARTED</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NEW: autocorrelation, dwell time</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Noise Quenching</w:t>
            </w:r>
          </w:p>
        </w:tc>
        <w:tc>
          <w:tcPr>
            <w:tcW w:type="dxa" w:w="14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NOT STARTED</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NEW: dose-response, IC50</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10: Updated Figures</w:t>
            </w:r>
          </w:p>
        </w:tc>
        <w:tc>
          <w:tcPr>
            <w:tcW w:type="dxa" w:w="14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NOT STARTED</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NEW: figures 15–19</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v3</w:t>
            </w:r>
          </w:p>
        </w:tc>
        <w:tc>
          <w:tcPr>
            <w:tcW w:type="dxa" w:w="14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NOT STARTED</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Updated with new framing + results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Competition Materials</w:t>
            </w:r>
          </w:p>
        </w:tc>
        <w:tc>
          <w:tcPr>
            <w:tcW w:type="dxa" w:w="14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NOT STARTED</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Poster, slides, abstract</w:t>
            </w:r>
          </w:p>
        </w:tc>
      </w:tr>
    </w:tbl>
    <w:p/>
    <w:p>
      <w:r>
        <w:br w:type="page"/>
      </w:r>
    </w:p>
    <w:p>
      <w:pPr>
        <w:jc w:val="left"/>
      </w:pPr>
      <w:r>
        <w:rPr>
          <w:rFonts w:ascii="Calibri" w:hAnsi="Calibri"/>
          <w:b/>
          <w:color w:val="1A1A2E"/>
          <w:sz w:val="32"/>
        </w:rPr>
        <w:t>2. ARCHITECTURE OF NEW CODE</w:t>
      </w:r>
    </w:p>
    <w:p>
      <w:pPr>
        <w:spacing w:before="360" w:after="120"/>
        <w:jc w:val="left"/>
      </w:pPr>
      <w:r>
        <w:rPr>
          <w:rFonts w:ascii="Calibri" w:hAnsi="Calibri"/>
          <w:b/>
          <w:color w:val="2E5090"/>
          <w:sz w:val="28"/>
        </w:rPr>
        <w:t>2.1  Phase 8: Temporal Noise Dynamics</w:t>
      </w:r>
    </w:p>
    <w:p>
      <w:r>
        <w:rPr>
          <w:rFonts w:ascii="Calibri" w:hAnsi="Calibri"/>
          <w:sz w:val="22"/>
        </w:rPr>
        <w:t>Directory: phase8_temporal/</w:t>
      </w:r>
    </w:p>
    <w:p>
      <w:r>
        <w:rPr>
          <w:rFonts w:ascii="Calibri" w:hAnsi="Calibri"/>
          <w:sz w:val="22"/>
        </w:rPr>
        <w:t>Files to create: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04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c>
          <w:tcPr>
            <w:tcW w:type="dxa" w:w="21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Dependencies</w:t>
            </w:r>
          </w:p>
        </w:tc>
      </w:tr>
      <w:tr>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__init__.py</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w:t>
            </w:r>
          </w:p>
        </w:tc>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r>
      <w:tr>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autocorrelation.py</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Compute C(tau) from Gillespie traces via FFT method. Functions: compute_autocorrelation(trace, max_lag), fit_exponential_decay(C_tau), extract_tau_c(C_tau). Input: protein time traces from Phase 6 trace recordings. Output: tau_c per architecture per environment.</w:t>
            </w:r>
          </w:p>
        </w:tc>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6 traces</w:t>
            </w:r>
          </w:p>
        </w:tc>
      </w:tr>
      <w:tr>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dwell_time.py</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Compute dwell time distributions in persister state. Functions: compute_dwell_times(trace, threshold), fit_dwell_distribution(dwell_times). Output: dwell time histograms, mean/median dwell time per architecture.</w:t>
            </w:r>
          </w:p>
        </w:tc>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6 traces + persistence threshold</w:t>
            </w:r>
          </w:p>
        </w:tc>
      </w:tr>
      <w:tr>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power_spectrum.py</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Compute power spectral density from traces. Functions: compute_psd(trace, dt), identify_peaks(psd, freqs). Output: PSD plots, characteristic frequencies per architecture.</w:t>
            </w:r>
          </w:p>
        </w:tc>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6 traces</w:t>
            </w:r>
          </w:p>
        </w:tc>
      </w:tr>
      <w:tr>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temporal_main.py</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orchestrator. Load existing Phase 6 trace data. Run extended trace simulations (1,000 cells x 3 architectures x 4 environments, recording full traces at 10-min intervals for 15,000 min post-burn-in = 1,500 time points per cell). Compute autocorrelation, dwell time, PSD for each condition. Save results to results/phase8/. Self-tests: tau_c &gt; 0, dwell times &gt; 0, PSD integrates to variance.</w:t>
            </w:r>
          </w:p>
        </w:tc>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Phase 8 modules</w:t>
            </w:r>
          </w:p>
        </w:tc>
      </w:tr>
    </w:tbl>
    <w:p/>
    <w:p>
      <w:r>
        <w:rPr>
          <w:rFonts w:ascii="Calibri" w:hAnsi="Calibri"/>
          <w:sz w:val="22"/>
        </w:rPr>
        <w:t>Estimated lines of code: ~400</w:t>
      </w:r>
    </w:p>
    <w:p>
      <w:r>
        <w:rPr>
          <w:rFonts w:ascii="Calibri" w:hAnsi="Calibri"/>
          <w:sz w:val="22"/>
        </w:rPr>
        <w:t>Estimated runtime: ~30 min (1,000 cells with trace recording x 12 conditions)</w:t>
      </w:r>
    </w:p>
    <w:p>
      <w:pPr>
        <w:spacing w:before="360" w:after="120"/>
        <w:jc w:val="left"/>
      </w:pPr>
      <w:r>
        <w:rPr>
          <w:rFonts w:ascii="Calibri" w:hAnsi="Calibri"/>
          <w:b/>
          <w:color w:val="2E5090"/>
          <w:sz w:val="28"/>
        </w:rPr>
        <w:t>2.2  Phase 9: Noise Quenching Dose-Response</w:t>
      </w:r>
    </w:p>
    <w:p>
      <w:r>
        <w:rPr>
          <w:rFonts w:ascii="Calibri" w:hAnsi="Calibri"/>
          <w:sz w:val="22"/>
        </w:rPr>
        <w:t>Directory: phase9_quenching/</w:t>
      </w:r>
    </w:p>
    <w:p>
      <w:r>
        <w:rPr>
          <w:rFonts w:ascii="Calibri" w:hAnsi="Calibri"/>
          <w:sz w:val="22"/>
        </w:rPr>
        <w:t>Files to create: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04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c>
          <w:tcPr>
            <w:tcW w:type="dxa" w:w="21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Dependencies</w:t>
            </w:r>
          </w:p>
        </w:tc>
      </w:tr>
      <w:tr>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__init__.py</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w:t>
            </w:r>
          </w:p>
        </w:tc>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t>
            </w:r>
          </w:p>
        </w:tc>
      </w:tr>
      <w:tr>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symmetrization_sweep.py</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Sweep Kd_weak from 49 to 2.4 nM. 15 Kd_weak values: [49, 40, 35, 30, 25, 20, 15, 10.84, 8, 6, 5, 4, 3, 2.4, 1.5]. At each: 5,000 cells, record CV, persister fraction, mean protein. Functions: run_symmetrization_sweep(kd_weak_values, n_cells, master_seed). Output: symmetrization_sweep.csv.</w:t>
            </w:r>
          </w:p>
        </w:tc>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Gillespie engine</w:t>
            </w:r>
          </w:p>
        </w:tc>
      </w:tr>
      <w:tr>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concentration_sweep.py</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Sweep Mce3R concentration. 15 log-spaced concentrations from 10 to 10,000 nM. Both asymmetric and symmetric architectures at each. Functions: run_concentration_sweep(conc_values, architectures, n_cells). Output: concentration_sweep.csv.</w:t>
            </w:r>
          </w:p>
        </w:tc>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Gillespie engine</w:t>
            </w:r>
          </w:p>
        </w:tc>
      </w:tr>
      <w:tr>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ic50_analysis.py</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Compute IC50 of noise and persistence. Fit sigmoidal dose-response: CV = CV_min + (CV_max - CV_min) / (1 + (Kd/IC50)^n). Functions: compute_ic50(kd_values, cv_values), compute_ic50_persistence(kd_values, persister_fractions). Output: ic50_results.json.</w:t>
            </w:r>
          </w:p>
        </w:tc>
        <w:tc>
          <w:tcPr>
            <w:tcW w:type="dxa" w:w="21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Symmetrization sweep results</w:t>
            </w:r>
          </w:p>
        </w:tc>
      </w:tr>
      <w:tr>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quenching_main.py</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orchestrator. Run both sweeps, compute IC50 values, save all results to results/phase9/. Self-tests: IC50 between 2.4 and 49 nM, CV monotonically decreasing with symmetrization.</w:t>
            </w:r>
          </w:p>
        </w:tc>
        <w:tc>
          <w:tcPr>
            <w:tcW w:type="dxa" w:w="21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Phase 9 modules</w:t>
            </w:r>
          </w:p>
        </w:tc>
      </w:tr>
    </w:tbl>
    <w:p/>
    <w:p>
      <w:r>
        <w:rPr>
          <w:rFonts w:ascii="Calibri" w:hAnsi="Calibri"/>
          <w:sz w:val="22"/>
        </w:rPr>
        <w:t>Estimated lines of code: ~500</w:t>
      </w:r>
    </w:p>
    <w:p>
      <w:r>
        <w:rPr>
          <w:rFonts w:ascii="Calibri" w:hAnsi="Calibri"/>
          <w:sz w:val="22"/>
        </w:rPr>
        <w:t>Estimated runtime: ~45 min (15 x 5,000 cells symmetrization + 15 x 2 x 5,000 cells concentration)</w:t>
      </w:r>
    </w:p>
    <w:p>
      <w:pPr>
        <w:spacing w:before="360" w:after="120"/>
        <w:jc w:val="left"/>
      </w:pPr>
      <w:r>
        <w:rPr>
          <w:rFonts w:ascii="Calibri" w:hAnsi="Calibri"/>
          <w:b/>
          <w:color w:val="2E5090"/>
          <w:sz w:val="28"/>
        </w:rPr>
        <w:t>2.3  Phase 10: New Figures</w:t>
      </w:r>
    </w:p>
    <w:p>
      <w:r>
        <w:rPr>
          <w:rFonts w:ascii="Calibri" w:hAnsi="Calibri"/>
          <w:sz w:val="22"/>
        </w:rPr>
        <w:t>Directory: phase10_new_figures/ (or extend phase7_extended_figures/). Each figure: 300 dpi, publication style matching existing figures (teal/coral/purple color scheme).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Figure Script</w:t>
            </w:r>
          </w:p>
        </w:tc>
        <w:tc>
          <w:tcPr>
            <w:tcW w:type="dxa" w:w="403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Content</w:t>
            </w:r>
          </w:p>
        </w:tc>
        <w:tc>
          <w:tcPr>
            <w:tcW w:type="dxa" w:w="244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Data Source</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fig15_autocorrelation.py</w:t>
            </w:r>
          </w:p>
        </w:tc>
        <w:tc>
          <w:tcPr>
            <w:tcW w:type="dxa" w:w="40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C(tau) curves for 3 architectures, fitted exponentials, tau_c values annotated</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autocorrelation results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fig16_dwell_time.py</w:t>
            </w:r>
          </w:p>
        </w:tc>
        <w:tc>
          <w:tcPr>
            <w:tcW w:type="dxa" w:w="40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Dwell time distributions (histograms or survival curves) for 3 architectures</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dwell time results</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fig17_power_spectrum.py</w:t>
            </w:r>
          </w:p>
        </w:tc>
        <w:tc>
          <w:tcPr>
            <w:tcW w:type="dxa" w:w="40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PSD plots for 3 architectures, characteristic frequencies marked</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PSD results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fig18_symmetrization_dose_response.py</w:t>
            </w:r>
          </w:p>
        </w:tc>
        <w:tc>
          <w:tcPr>
            <w:tcW w:type="dxa" w:w="40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 and persister fraction vs Kd_weak, IC50 marked</w:t>
            </w:r>
          </w:p>
        </w:tc>
        <w:tc>
          <w:tcPr>
            <w:tcW w:type="dxa" w:w="24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symmetrization sweep</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fig19_concentration_sweep.py</w:t>
            </w:r>
          </w:p>
        </w:tc>
        <w:tc>
          <w:tcPr>
            <w:tcW w:type="dxa" w:w="40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 vs [Mce3R] for asymmetric and symmetric, crossover point marked</w:t>
            </w:r>
          </w:p>
        </w:tc>
        <w:tc>
          <w:tcPr>
            <w:tcW w:type="dxa" w:w="24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concentration sweep</w:t>
            </w:r>
          </w:p>
        </w:tc>
      </w:tr>
    </w:tbl>
    <w:p/>
    <w:p>
      <w:r>
        <w:br w:type="page"/>
      </w:r>
    </w:p>
    <w:p>
      <w:pPr>
        <w:jc w:val="left"/>
      </w:pPr>
      <w:r>
        <w:rPr>
          <w:rFonts w:ascii="Calibri" w:hAnsi="Calibri"/>
          <w:b/>
          <w:color w:val="1A1A2E"/>
          <w:sz w:val="32"/>
        </w:rPr>
        <w:t>3. WEEK-BY-WEEK EXECUTION PLAN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64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Week</w:t>
            </w:r>
          </w:p>
        </w:tc>
        <w:tc>
          <w:tcPr>
            <w:tcW w:type="dxa" w:w="136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Dates</w:t>
            </w:r>
          </w:p>
        </w:tc>
        <w:tc>
          <w:tcPr>
            <w:tcW w:type="dxa" w:w="100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Phase</w:t>
            </w:r>
          </w:p>
        </w:tc>
        <w:tc>
          <w:tcPr>
            <w:tcW w:type="dxa" w:w="288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Tasks</w:t>
            </w:r>
          </w:p>
        </w:tc>
        <w:tc>
          <w:tcPr>
            <w:tcW w:type="dxa" w:w="172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Deliverables</w:t>
            </w:r>
          </w:p>
        </w:tc>
        <w:tc>
          <w:tcPr>
            <w:tcW w:type="dxa" w:w="136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Dependencies</w:t>
            </w:r>
          </w:p>
        </w:tc>
        <w:tc>
          <w:tcPr>
            <w:tcW w:type="dxa" w:w="72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Est. Hours</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Mar 30 – Apr 5</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Setup</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Review all existing code and results. Read all cited papers (Chowdhury 2021, Quigley &amp; Lewis 2022, Lengyel &amp; Morelli 2017). Write updated CLAUDE.md and HANDOFF.md reflecting new aims.</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Updated project documentation</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None</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15</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Apr 6 – Apr 12</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Design Phase 8 architecture (temporal dynamics). Write autocorrelation.py with self-tests. Write dwell_time.py with self-tests.</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Two tested analysis modules</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1 review complete</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3</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Apr 13 – Apr 19</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Write power_spectrum.py with self-tests. Write temporal_main.py orchestrator. Run Phase 8 on existing Phase 6 trace data (quick test: 100 cells).</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code complete, preliminary results</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2 modules</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4</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Apr 20 – Apr 26</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Run Phase 8 full production (1,000 cells x 12 conditions). Analyze results: is tau_c(asymmetric) &gt; tau_c(symmetric)? Compare dwell time distributions across architectures.</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results, initial analysis</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3 code complete</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18</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5</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Apr 27 – May 3</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Design Phase 9 architecture (noise quenching). Write symmetrization_sweep.py with self-tests. Write concentration_sweep.py with self-tests.</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Two tested simulation modules</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complete</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6</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May 4 – May 10</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Write ic50_analysis.py with self-tests. Write quenching_main.py orchestrator. Run Phase 9 full production.</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results, IC50 values computed</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5 modules</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22</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7</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May 11 – May 17</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10</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Create fig15_autocorrelation.py. Create fig16_dwell_time.py. Create fig17_power_spectrum.py.</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3 new figures (temporal dynamics)</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results</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15</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8</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May 18 – May 24</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10</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Create fig18_symmetrization_dose_response.py. Create fig19_concentration_sweep.py. Review all 19 figures for consistency.</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5 new figures total, all figures reviewed</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results</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15</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9</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May 25 – May 31</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Robustness</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Posterior propagation for temporal dynamics (50 MCMC samples). Sensitivity of IC50 to parameter perturbation. Two-species model temporal dynamics.</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Robustness analysis complete</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Phases 8–10 results</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10</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Jun 1 – Jun 7</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Write manuscript Introduction and Methods. Incorporate all critique responses. Cite all prior work properly (Chowdhury, Quigley &amp; Lewis, Lengyel &amp; Morelli).</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draft sections 1–2</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results finalized</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25</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11</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Jun 8 – Jun 14</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Write manuscript Results and Discussion. Include temporal dynamics results. Include noise quenching results. Honest limitations section with falsification criteria.</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draft sections 3–4</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10 draft</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25</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12</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Jun 15 – Jun 21</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Write Abstract, References, figure legends. Internal review and revision.</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 manuscript draft v3</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11 draft</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13</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Jun 22 – Jun 28</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Competition</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Prepare Regeneron STS materials: 1-page project abstract, research report (20-page limit), common application essay edits.</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STS abstract draft</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v3 complete</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14</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Jun 29 – Jul 5</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Competition</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Prepare presentation materials: 15-slide summary presentation, poster layout (48x36 inches), 3-minute elevator pitch script.</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Presentation materials draft</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13 abstract</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18</w:t>
            </w:r>
          </w:p>
        </w:tc>
      </w:tr>
      <w:tr>
        <w:tc>
          <w:tcPr>
            <w:tcW w:type="dxa" w:w="64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15</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Jul 6 – Jul 12</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Finalization</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Final revisions to all materials. Code cleanup and documentation. Verify all results reproducible from clean run.</w:t>
            </w:r>
          </w:p>
        </w:tc>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Finalized manuscript, code, materials</w:t>
            </w:r>
          </w:p>
        </w:tc>
        <w:tc>
          <w:tcPr>
            <w:tcW w:type="dxa" w:w="136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Weeks 13–14 materials</w:t>
            </w:r>
          </w:p>
        </w:tc>
        <w:tc>
          <w:tcPr>
            <w:tcW w:type="dxa" w:w="72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w:t>
            </w:r>
          </w:p>
        </w:tc>
      </w:tr>
      <w:tr>
        <w:tc>
          <w:tcPr>
            <w:tcW w:type="dxa" w:w="64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16</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Jul 13 – Jul 19</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Buffer</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Address any remaining issues. Practice presentation. Submit.</w:t>
            </w:r>
          </w:p>
        </w:tc>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Submission-ready package</w:t>
            </w:r>
          </w:p>
        </w:tc>
        <w:tc>
          <w:tcPr>
            <w:tcW w:type="dxa" w:w="136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Week 15 finalization</w:t>
            </w:r>
          </w:p>
        </w:tc>
        <w:tc>
          <w:tcPr>
            <w:tcW w:type="dxa" w:w="72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10</w:t>
            </w:r>
          </w:p>
        </w:tc>
      </w:tr>
    </w:tbl>
    <w:p/>
    <w:p>
      <w:r>
        <w:rPr>
          <w:rFonts w:ascii="Calibri" w:hAnsi="Calibri"/>
          <w:sz w:val="22"/>
        </w:rPr>
        <w:t>Total estimated hours: ~303 hours across 16 weeks (~19 hours/week average)</w:t>
      </w:r>
    </w:p>
    <w:p>
      <w:r>
        <w:br w:type="page"/>
      </w:r>
    </w:p>
    <w:p>
      <w:pPr>
        <w:jc w:val="left"/>
      </w:pPr>
      <w:r>
        <w:rPr>
          <w:rFonts w:ascii="Calibri" w:hAnsi="Calibri"/>
          <w:b/>
          <w:color w:val="1A1A2E"/>
          <w:sz w:val="32"/>
        </w:rPr>
        <w:t>4. DEPENDENCY GRAPH</w:t>
      </w:r>
    </w:p>
    <w:p>
      <w:r>
        <w:rPr>
          <w:rFonts w:ascii="Calibri" w:hAnsi="Calibri"/>
          <w:sz w:val="22"/>
        </w:rPr>
        <w:t>The following diagram shows the dependency structure across all project phases. Arrows indicate that the target phase requires outputs from the source phase.</w:t>
      </w:r>
    </w:p>
    <w:p>
      <w:pPr>
        <w:spacing w:before="0" w:after="0" w:line="240" w:lineRule="exact"/>
      </w:pPr>
      <w:r>
        <w:rPr>
          <w:rFonts w:ascii="Consolas" w:hAnsi="Consolas"/>
          <w:color w:val="333333"/>
          <w:sz w:val="18"/>
        </w:rPr>
        <w:t>Phase 1 (motif discovery) ─────────────────────┐</w:t>
      </w:r>
    </w:p>
    <w:p>
      <w:pPr>
        <w:spacing w:before="0" w:after="0" w:line="240" w:lineRule="exact"/>
      </w:pPr>
      <w:r>
        <w:rPr>
          <w:rFonts w:ascii="Consolas" w:hAnsi="Consolas"/>
          <w:color w:val="333333"/>
          <w:sz w:val="18"/>
        </w:rPr>
        <w:t xml:space="preserve">                                                │</w:t>
      </w:r>
    </w:p>
    <w:p>
      <w:pPr>
        <w:spacing w:before="0" w:after="0" w:line="240" w:lineRule="exact"/>
      </w:pPr>
      <w:r>
        <w:rPr>
          <w:rFonts w:ascii="Consolas" w:hAnsi="Consolas"/>
          <w:color w:val="333333"/>
          <w:sz w:val="18"/>
        </w:rPr>
        <w:t>Phase 2 (Gillespie) ────┐                      │</w:t>
      </w:r>
    </w:p>
    <w:p>
      <w:pPr>
        <w:spacing w:before="0" w:after="0" w:line="240" w:lineRule="exact"/>
      </w:pPr>
      <w:r>
        <w:rPr>
          <w:rFonts w:ascii="Consolas" w:hAnsi="Consolas"/>
          <w:color w:val="333333"/>
          <w:sz w:val="18"/>
        </w:rPr>
        <w:t xml:space="preserve">                        ├── Phase 3 (stats) ───├── Phase 5 (thermo) ──┐</w:t>
      </w:r>
    </w:p>
    <w:p>
      <w:pPr>
        <w:spacing w:before="0" w:after="0" w:line="240" w:lineRule="exact"/>
      </w:pPr>
      <w:r>
        <w:rPr>
          <w:rFonts w:ascii="Consolas" w:hAnsi="Consolas"/>
          <w:color w:val="333333"/>
          <w:sz w:val="18"/>
        </w:rPr>
        <w:t>Phase 2 (Gillespie) ────┘        │             │                     │</w:t>
      </w:r>
    </w:p>
    <w:p>
      <w:pPr>
        <w:spacing w:before="0" w:after="0" w:line="240" w:lineRule="exact"/>
      </w:pPr>
      <w:r>
        <w:rPr>
          <w:rFonts w:ascii="Consolas" w:hAnsi="Consolas"/>
          <w:color w:val="333333"/>
          <w:sz w:val="18"/>
        </w:rPr>
        <w:t xml:space="preserve">                                 │             │                     │</w:t>
      </w:r>
    </w:p>
    <w:p>
      <w:pPr>
        <w:spacing w:before="0" w:after="0" w:line="240" w:lineRule="exact"/>
      </w:pPr>
      <w:r>
        <w:rPr>
          <w:rFonts w:ascii="Consolas" w:hAnsi="Consolas"/>
          <w:color w:val="333333"/>
          <w:sz w:val="18"/>
        </w:rPr>
        <w:t xml:space="preserve">                         Phase 4 (figs 1-8)    │                     │</w:t>
      </w:r>
    </w:p>
    <w:p>
      <w:pPr>
        <w:spacing w:before="0" w:after="0" w:line="240" w:lineRule="exact"/>
      </w:pPr>
      <w:r>
        <w:rPr>
          <w:rFonts w:ascii="Consolas" w:hAnsi="Consolas"/>
          <w:color w:val="333333"/>
          <w:sz w:val="18"/>
        </w:rPr>
        <w:t xml:space="preserve">                                               │                     │</w:t>
      </w:r>
    </w:p>
    <w:p>
      <w:pPr>
        <w:spacing w:before="0" w:after="0" w:line="240" w:lineRule="exact"/>
      </w:pPr>
      <w:r>
        <w:rPr>
          <w:rFonts w:ascii="Consolas" w:hAnsi="Consolas"/>
          <w:color w:val="333333"/>
          <w:sz w:val="18"/>
        </w:rPr>
        <w:t xml:space="preserve">                                 Phase 6 (environmental) ────────────┤</w:t>
      </w:r>
    </w:p>
    <w:p>
      <w:pPr>
        <w:spacing w:before="0" w:after="0" w:line="240" w:lineRule="exact"/>
      </w:pPr>
      <w:r>
        <w:rPr>
          <w:rFonts w:ascii="Consolas" w:hAnsi="Consolas"/>
          <w:color w:val="333333"/>
          <w:sz w:val="18"/>
        </w:rPr>
        <w:t xml:space="preserve">                                               │                     │</w:t>
      </w:r>
    </w:p>
    <w:p>
      <w:pPr>
        <w:spacing w:before="0" w:after="0" w:line="240" w:lineRule="exact"/>
      </w:pPr>
      <w:r>
        <w:rPr>
          <w:rFonts w:ascii="Consolas" w:hAnsi="Consolas"/>
          <w:color w:val="333333"/>
          <w:sz w:val="18"/>
        </w:rPr>
        <w:t xml:space="preserve">                                 Phase 7 (figs 9-14)                 │</w:t>
      </w:r>
    </w:p>
    <w:p>
      <w:pPr>
        <w:spacing w:before="0" w:after="0" w:line="240" w:lineRule="exact"/>
      </w:pPr>
      <w:r>
        <w:rPr>
          <w:rFonts w:ascii="Consolas" w:hAnsi="Consolas"/>
          <w:color w:val="333333"/>
          <w:sz w:val="18"/>
        </w:rPr>
        <w:t xml:space="preserve">                                               │                     │</w:t>
      </w:r>
    </w:p>
    <w:p>
      <w:pPr>
        <w:spacing w:before="0" w:after="0" w:line="240" w:lineRule="exact"/>
      </w:pPr>
      <w:r>
        <w:rPr>
          <w:rFonts w:ascii="Consolas" w:hAnsi="Consolas"/>
          <w:color w:val="333333"/>
          <w:sz w:val="18"/>
        </w:rPr>
        <w:t xml:space="preserve">                                 Phase 8 (temporal dynamics) &lt;───────┤</w:t>
      </w:r>
    </w:p>
    <w:p>
      <w:pPr>
        <w:spacing w:before="0" w:after="0" w:line="240" w:lineRule="exact"/>
      </w:pPr>
      <w:r>
        <w:rPr>
          <w:rFonts w:ascii="Consolas" w:hAnsi="Consolas"/>
          <w:color w:val="333333"/>
          <w:sz w:val="18"/>
        </w:rPr>
        <w:t xml:space="preserve">                                               │                     │</w:t>
      </w:r>
    </w:p>
    <w:p>
      <w:pPr>
        <w:spacing w:before="0" w:after="0" w:line="240" w:lineRule="exact"/>
      </w:pPr>
      <w:r>
        <w:rPr>
          <w:rFonts w:ascii="Consolas" w:hAnsi="Consolas"/>
          <w:color w:val="333333"/>
          <w:sz w:val="18"/>
        </w:rPr>
        <w:t xml:space="preserve">                                 Phase 9 (noise quenching) &lt;─────────┘</w:t>
      </w:r>
    </w:p>
    <w:p>
      <w:pPr>
        <w:spacing w:before="0" w:after="0" w:line="240" w:lineRule="exact"/>
      </w:pPr>
      <w:r>
        <w:rPr>
          <w:rFonts w:ascii="Consolas" w:hAnsi="Consolas"/>
          <w:color w:val="333333"/>
          <w:sz w:val="18"/>
        </w:rPr>
        <w:t xml:space="preserve">                                               │</w:t>
      </w:r>
    </w:p>
    <w:p>
      <w:pPr>
        <w:spacing w:before="0" w:after="0" w:line="240" w:lineRule="exact"/>
      </w:pPr>
      <w:r>
        <w:rPr>
          <w:rFonts w:ascii="Consolas" w:hAnsi="Consolas"/>
          <w:color w:val="333333"/>
          <w:sz w:val="18"/>
        </w:rPr>
        <w:t xml:space="preserve">                                 Phase 10 (figs 15-19)</w:t>
      </w:r>
    </w:p>
    <w:p>
      <w:pPr>
        <w:spacing w:before="0" w:after="0" w:line="240" w:lineRule="exact"/>
      </w:pPr>
      <w:r>
        <w:rPr>
          <w:rFonts w:ascii="Consolas" w:hAnsi="Consolas"/>
          <w:color w:val="333333"/>
          <w:sz w:val="18"/>
        </w:rPr>
        <w:t xml:space="preserve">                                               │</w:t>
      </w:r>
    </w:p>
    <w:p>
      <w:pPr>
        <w:spacing w:before="0" w:after="0" w:line="240" w:lineRule="exact"/>
      </w:pPr>
      <w:r>
        <w:rPr>
          <w:rFonts w:ascii="Consolas" w:hAnsi="Consolas"/>
          <w:color w:val="333333"/>
          <w:sz w:val="18"/>
        </w:rPr>
        <w:t xml:space="preserve">                                 Manuscript v3</w:t>
      </w:r>
    </w:p>
    <w:p>
      <w:pPr>
        <w:spacing w:before="0" w:after="0" w:line="240" w:lineRule="exact"/>
      </w:pPr>
      <w:r>
        <w:rPr>
          <w:rFonts w:ascii="Consolas" w:hAnsi="Consolas"/>
          <w:color w:val="333333"/>
          <w:sz w:val="18"/>
        </w:rPr>
        <w:t xml:space="preserve">                                               │</w:t>
      </w:r>
    </w:p>
    <w:p>
      <w:pPr>
        <w:spacing w:before="0" w:after="0" w:line="240" w:lineRule="exact"/>
      </w:pPr>
      <w:r>
        <w:rPr>
          <w:rFonts w:ascii="Consolas" w:hAnsi="Consolas"/>
          <w:color w:val="333333"/>
          <w:sz w:val="18"/>
        </w:rPr>
        <w:t xml:space="preserve">                                 Competition materials</w:t>
      </w:r>
    </w:p>
    <w:p>
      <w:r>
        <w:rPr>
          <w:rFonts w:ascii="Calibri" w:hAnsi="Calibri"/>
          <w:sz w:val="22"/>
        </w:rPr>
        <w:t>Critical path: Phase 2 -&gt; Phase 5 -&gt; Phase 6 -&gt; Phase 8 -&gt; Phase 9 -&gt; Phase 10 -&gt; Manuscript -&gt; Competition. Any delay on this path directly impacts the final submission date.</w:t>
      </w:r>
    </w:p>
    <w:p>
      <w:r>
        <w:br w:type="page"/>
      </w:r>
    </w:p>
    <w:p>
      <w:pPr>
        <w:jc w:val="left"/>
      </w:pPr>
      <w:r>
        <w:rPr>
          <w:rFonts w:ascii="Calibri" w:hAnsi="Calibri"/>
          <w:b/>
          <w:color w:val="1A1A2E"/>
          <w:sz w:val="32"/>
        </w:rPr>
        <w:t>5. RISK REGISTER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3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w:t>
            </w:r>
          </w:p>
        </w:tc>
        <w:tc>
          <w:tcPr>
            <w:tcW w:type="dxa" w:w="288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Risk</w:t>
            </w:r>
          </w:p>
        </w:tc>
        <w:tc>
          <w:tcPr>
            <w:tcW w:type="dxa" w:w="115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Probability</w:t>
            </w:r>
          </w:p>
        </w:tc>
        <w:tc>
          <w:tcPr>
            <w:tcW w:type="dxa" w:w="100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Impact</w:t>
            </w:r>
          </w:p>
        </w:tc>
        <w:tc>
          <w:tcPr>
            <w:tcW w:type="dxa" w:w="388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Mitigation</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tau_c dominated by protein half-life, obscuring architecture-dependent memory</w:t>
            </w:r>
          </w:p>
        </w:tc>
        <w:tc>
          <w:tcPr>
            <w:tcW w:type="dxa" w:w="115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High</w:t>
            </w:r>
          </w:p>
        </w:tc>
        <w:tc>
          <w:tcPr>
            <w:tcW w:type="dxa" w:w="388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Still publishable as negative result; report that amplitude not memory is the relevant noise metric for persister fate decisions</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IC50 falls outside biologically achievable Kd range</w:t>
            </w:r>
          </w:p>
        </w:tc>
        <w:tc>
          <w:tcPr>
            <w:tcW w:type="dxa" w:w="115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Low</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388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Report the value honestly; discuss what concentration range would be needed and whether existing drugs could achieve it</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3</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runtime exceeds estimate due to trace recording overhead</w:t>
            </w:r>
          </w:p>
        </w:tc>
        <w:tc>
          <w:tcPr>
            <w:tcW w:type="dxa" w:w="115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Low</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Low</w:t>
            </w:r>
          </w:p>
        </w:tc>
        <w:tc>
          <w:tcPr>
            <w:tcW w:type="dxa" w:w="388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Reduce to 500 cells; noise statistics converge fast for temporal metrics given 1,500 time points per trace</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4</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Persister fractions too low to detect architecture differences in dwell time</w:t>
            </w:r>
          </w:p>
        </w:tc>
        <w:tc>
          <w:tcPr>
            <w:tcW w:type="dxa" w:w="115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388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Use multiple threshold methods (already implemented in Phase 6); report fold-enrichment rather than absolute fractions</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5</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MCMC posterior too wide to constrain temporal dynamics predictions</w:t>
            </w:r>
          </w:p>
        </w:tc>
        <w:tc>
          <w:tcPr>
            <w:tcW w:type="dxa" w:w="115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388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Report range of tau_c across posterior; if range is huge, this is itself informative about which parameters control noise memory</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6</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Figures not reaching publication quality standards</w:t>
            </w:r>
          </w:p>
        </w:tc>
        <w:tc>
          <w:tcPr>
            <w:tcW w:type="dxa" w:w="115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Low</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Low</w:t>
            </w:r>
          </w:p>
        </w:tc>
        <w:tc>
          <w:tcPr>
            <w:tcW w:type="dxa" w:w="388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Use existing figure_style.py infrastructure from Phase 4; iterate on reviewer feedback before final submission</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7</w:t>
            </w:r>
          </w:p>
        </w:tc>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rejected for lack of experimental validation</w:t>
            </w:r>
          </w:p>
        </w:tc>
        <w:tc>
          <w:tcPr>
            <w:tcW w:type="dxa" w:w="115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High</w:t>
            </w:r>
          </w:p>
        </w:tc>
        <w:tc>
          <w:tcPr>
            <w:tcW w:type="dxa" w:w="100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388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Frame as computational prediction paper with explicit falsification criteria; target computational biology journals (PLoS Comp Bio, Biophysical Journal)</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8</w:t>
            </w:r>
          </w:p>
        </w:tc>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STS deadline pressure compresses final preparation time</w:t>
            </w:r>
          </w:p>
        </w:tc>
        <w:tc>
          <w:tcPr>
            <w:tcW w:type="dxa" w:w="115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Medium</w:t>
            </w:r>
          </w:p>
        </w:tc>
        <w:tc>
          <w:tcPr>
            <w:tcW w:type="dxa" w:w="100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High</w:t>
            </w:r>
          </w:p>
        </w:tc>
        <w:tc>
          <w:tcPr>
            <w:tcW w:type="dxa" w:w="388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Buffer week (Week 16) built in; prioritize manuscript and research report over presentation materials if needed</w:t>
            </w:r>
          </w:p>
        </w:tc>
      </w:tr>
    </w:tbl>
    <w:p/>
    <w:p>
      <w:r>
        <w:br w:type="page"/>
      </w:r>
    </w:p>
    <w:p>
      <w:pPr>
        <w:jc w:val="left"/>
      </w:pPr>
      <w:r>
        <w:rPr>
          <w:rFonts w:ascii="Calibri" w:hAnsi="Calibri"/>
          <w:b/>
          <w:color w:val="1A1A2E"/>
          <w:sz w:val="32"/>
        </w:rPr>
        <w:t>6. FILE INVENTORY</w:t>
      </w:r>
    </w:p>
    <w:p>
      <w:r>
        <w:rPr>
          <w:rFonts w:ascii="Calibri" w:hAnsi="Calibri"/>
          <w:sz w:val="22"/>
        </w:rPr>
        <w:t>Comprehensive inventory of all files in the ENIGMA project, organized by functional group. Items marked (NEW) are to be created in Phases 8–10.</w:t>
      </w:r>
    </w:p>
    <w:p>
      <w:pPr>
        <w:spacing w:before="240" w:after="80"/>
      </w:pPr>
      <w:r>
        <w:rPr>
          <w:rFonts w:ascii="Calibri" w:hAnsi="Calibri"/>
          <w:b/>
          <w:color w:val="2E5090"/>
          <w:sz w:val="24"/>
        </w:rPr>
        <w:t>Group 1: Configuration</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config/__init__.py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config/parameters.py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parameters, single source of truth for the entire project</w:t>
            </w:r>
          </w:p>
        </w:tc>
      </w:tr>
    </w:tbl>
    <w:p/>
    <w:p>
      <w:pPr>
        <w:spacing w:before="240" w:after="80"/>
      </w:pPr>
      <w:r>
        <w:rPr>
          <w:rFonts w:ascii="Calibri" w:hAnsi="Calibri"/>
          <w:b/>
          <w:color w:val="2E5090"/>
          <w:sz w:val="24"/>
        </w:rPr>
        <w:t>Group 2: Phase 1 — Motif Discovery</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phase1_pipeline/download_genomes.py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Download mycobacterial genomes from NCBI</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phase1_pipeline/extract_upstream.py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Extract upstream regions of mce3 operons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phase1_pipeline/run_meme.py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Run MEME motif discovery</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phase1_pipeline/run_fimo.py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Run FIMO motif scanning</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phase1_pipeline/conservation_check.py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Check motif conservation across species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phase1_pipeline/pipeline_main.py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1 orchestrator</w:t>
            </w:r>
          </w:p>
        </w:tc>
      </w:tr>
    </w:tbl>
    <w:p/>
    <w:p>
      <w:pPr>
        <w:spacing w:before="240" w:after="80"/>
      </w:pPr>
      <w:r>
        <w:rPr>
          <w:rFonts w:ascii="Calibri" w:hAnsi="Calibri"/>
          <w:b/>
          <w:color w:val="2E5090"/>
          <w:sz w:val="24"/>
        </w:rPr>
        <w:t>Group 3: Phase 2 — Gillespie Simulation</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phase2_simulation/operator_model.py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Operator state model (4-state asymmetric binding)</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phase2_simulation/gillespie_engine.py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Core Gillespie SSA engine with tau-leaping option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phase2_simulation/run_conditions.py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Run simulations across 4 binding conditions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phase2_simulation/asymmetry_sweep.py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Sweep asymmetry parameter space</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phase2_simulation/simulation_main.py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2 orchestrator</w:t>
            </w:r>
          </w:p>
        </w:tc>
      </w:tr>
    </w:tbl>
    <w:p/>
    <w:p>
      <w:pPr>
        <w:spacing w:before="240" w:after="80"/>
      </w:pPr>
      <w:r>
        <w:rPr>
          <w:rFonts w:ascii="Calibri" w:hAnsi="Calibri"/>
          <w:b/>
          <w:color w:val="2E5090"/>
          <w:sz w:val="24"/>
        </w:rPr>
        <w:t>Group 4: Phase 3 — Statistical Analysis</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phase3_analysis/noise_metrics.py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 Fano factor, bimodality index computation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phase3_analysis/bootstrap_ci.py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Bootstrap confidence interval estimation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phase3_analysis/statistical_tests.py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KS test, Mann-Whitney U, permutation tests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phase3_analysis/sensitivity_analysis.py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Parameter sensitivity (Sobol, Morris)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phase3_analysis/negative_controls.py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Symmetric null model controls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phase3_analysis/experimental_comparison.py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Comparison with published experimental data</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phase3_analysis/analysis_main.py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3 orchestrator</w:t>
            </w:r>
          </w:p>
        </w:tc>
      </w:tr>
    </w:tbl>
    <w:p/>
    <w:p>
      <w:pPr>
        <w:spacing w:before="240" w:after="80"/>
      </w:pPr>
      <w:r>
        <w:rPr>
          <w:rFonts w:ascii="Calibri" w:hAnsi="Calibri"/>
          <w:b/>
          <w:color w:val="2E5090"/>
          <w:sz w:val="24"/>
        </w:rPr>
        <w:t>Group 5: Phase 4 — Figures 1–8</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phase4_figures/figure_style.py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Shared style: teal/coral/purple palette, fonts, layout</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phase4_figures/fig1_binding_sites.py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1: Operator binding site architecture</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phase4_figures/fig2_noise_distributions.py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2: Protein noise distributions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phase4_figures/fig3_cv_comparison.py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3: CV comparison across architectures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phase4_figures/fig4_asymmetry_sweep.py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4: Asymmetry parameter sweep</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phase4_figures/fig5_bootstrap.py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5: Bootstrap confidence intervals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phase4_figures/fig6_sensitivity.py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6: Sensitivity analysis tornado plot</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phase4_figures/fig7_experimental.py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7: Experimental data comparison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phase4_figures/fig8_methods_architecture.py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8: Methods and architecture overview</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phase4_figures/figures_main.py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4 orchestrator</w:t>
            </w:r>
          </w:p>
        </w:tc>
      </w:tr>
    </w:tbl>
    <w:p/>
    <w:p>
      <w:pPr>
        <w:spacing w:before="240" w:after="80"/>
      </w:pPr>
      <w:r>
        <w:rPr>
          <w:rFonts w:ascii="Calibri" w:hAnsi="Calibri"/>
          <w:b/>
          <w:color w:val="2E5090"/>
          <w:sz w:val="24"/>
        </w:rPr>
        <w:t>Group 6: Phase 5 — Thermodynamic Calibration</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phase5_thermodynamic/energy_calibration.py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Free energy calibration from binding data</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phase5_thermodynamic/partition_function.py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Statistical mechanical partition function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phase5_thermodynamic/cooperativity_inference.py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MCMC inference of cooperativity (omega)</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phase5_thermodynamic/operator_classification.py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Classify operator architectures by energy</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phase5_thermodynamic/dna_shape.py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DNA shape parameter analysis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phase5_thermodynamic/thermodynamic_main.py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5 orchestrator</w:t>
            </w:r>
          </w:p>
        </w:tc>
      </w:tr>
    </w:tbl>
    <w:p/>
    <w:p>
      <w:pPr>
        <w:spacing w:before="240" w:after="80"/>
      </w:pPr>
      <w:r>
        <w:rPr>
          <w:rFonts w:ascii="Calibri" w:hAnsi="Calibri"/>
          <w:b/>
          <w:color w:val="2E5090"/>
          <w:sz w:val="24"/>
        </w:rPr>
        <w:t>Group 7: Phase 6 — Environmental Extensions</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phase6_environmental/environmental_signals.py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Model environmental signal modulation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phase6_environmental/two_species_model.py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Two-species (mRNA + protein) model</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phase6_environmental/two_species_gillespie.py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Gillespie engine for two-species model</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phase6_environmental/mutual_information.py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Mutual information between noise and environment</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phase6_environmental/persistence_threshold.py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Persister threshold calibration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phase6_environmental/run_environmental_conditions.py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Run 24 environmental conditions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phase6_environmental/environmental_main.py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6 orchestrator</w:t>
            </w:r>
          </w:p>
        </w:tc>
      </w:tr>
    </w:tbl>
    <w:p/>
    <w:p>
      <w:pPr>
        <w:spacing w:before="240" w:after="80"/>
      </w:pPr>
      <w:r>
        <w:rPr>
          <w:rFonts w:ascii="Calibri" w:hAnsi="Calibri"/>
          <w:b/>
          <w:color w:val="2E5090"/>
          <w:sz w:val="24"/>
        </w:rPr>
        <w:t>Group 8: Phase 7 — Extended Figures 9–14</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phase7_extended_figures/fig9_*.py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9: Thermodynamic landscape</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phase7_extended_figures/fig10_*.py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10: MCMC posterior distributions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phase7_extended_figures/fig11_*.py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11: Environmental phase diagram</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phase7_extended_figures/fig12_*.py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12: Mutual information heatmap</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phase7_extended_figures/fig13_*.py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13: Persistence fractions across conditions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phase7_extended_figures/fig14_*.py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 14: Two-species model comparison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phase7_extended_figures/extended_figures_main.py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7 orchestrator</w:t>
            </w:r>
          </w:p>
        </w:tc>
      </w:tr>
    </w:tbl>
    <w:p/>
    <w:p>
      <w:pPr>
        <w:spacing w:before="240" w:after="80"/>
      </w:pPr>
      <w:r>
        <w:rPr>
          <w:rFonts w:ascii="Calibri" w:hAnsi="Calibri"/>
          <w:b/>
          <w:color w:val="2E5090"/>
          <w:sz w:val="24"/>
        </w:rPr>
        <w:t>Group 9: Phase 8 — Temporal Dynamics (NEW)</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phase8_temporal/__init__.py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phase8_temporal/autocorrelation.py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FFT-based autocorrelation C(tau) computation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phase8_temporal/dwell_time.py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Dwell time distribution in persister state</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phase8_temporal/power_spectrum.py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Power spectral density computation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phase8_temporal/temporal_main.py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8 orchestrator</w:t>
            </w:r>
          </w:p>
        </w:tc>
      </w:tr>
    </w:tbl>
    <w:p/>
    <w:p>
      <w:pPr>
        <w:spacing w:before="240" w:after="80"/>
      </w:pPr>
      <w:r>
        <w:rPr>
          <w:rFonts w:ascii="Calibri" w:hAnsi="Calibri"/>
          <w:b/>
          <w:color w:val="2E5090"/>
          <w:sz w:val="24"/>
        </w:rPr>
        <w:t>Group 10: Phase 9 — Noise Quenching (NEW)</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phase9_quenching/__init__.py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Package initialization</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phase9_quenching/symmetrization_sweep.py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Kd_weak sweep from 49 to 2.4 nM</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phase9_quenching/concentration_sweep.py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Mce3R concentration sweep (10–10,000 nM)</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phase9_quenching/ic50_analysis.py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Sigmoidal IC50 fitting for noise and persistence</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phase9_quenching/quenching_main.py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9 orchestrator</w:t>
            </w:r>
          </w:p>
        </w:tc>
      </w:tr>
    </w:tbl>
    <w:p/>
    <w:p>
      <w:pPr>
        <w:spacing w:before="240" w:after="80"/>
      </w:pPr>
      <w:r>
        <w:rPr>
          <w:rFonts w:ascii="Calibri" w:hAnsi="Calibri"/>
          <w:b/>
          <w:color w:val="2E5090"/>
          <w:sz w:val="24"/>
        </w:rPr>
        <w:t>Group 11: Phase 10 — New Figures (NEW)</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fig15_autocorrelation.py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C(tau) curves, fitted exponentials, tau_c annotated</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fig16_dwell_time.py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Dwell time distributions / survival curves</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fig17_power_spectrum.py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PSD plots with characteristic frequencies</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fig18_symmetrization_dose_response.py</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 and persister fraction vs Kd_weak, IC50 marked</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fig19_concentration_sweep.py</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 vs [Mce3R] for asymmetric/symmetric, crossover marked</w:t>
            </w:r>
          </w:p>
        </w:tc>
      </w:tr>
    </w:tbl>
    <w:p/>
    <w:p>
      <w:pPr>
        <w:spacing w:before="240" w:after="80"/>
      </w:pPr>
      <w:r>
        <w:rPr>
          <w:rFonts w:ascii="Calibri" w:hAnsi="Calibri"/>
          <w:b/>
          <w:color w:val="2E5090"/>
          <w:sz w:val="24"/>
        </w:rPr>
        <w:t>Group 12: Results Directories</w:t>
      </w:r>
    </w:p>
    <w:tbl>
      <w:tblPr>
        <w:tblW w:type="auto" w:w="0"/>
        <w:jc w:val="center"/>
        <w:tblLayout w:type="fixed"/>
        <w:tblLook w:firstColumn="1" w:firstRow="1" w:lastColumn="0" w:lastRow="0" w:noHBand="0" w:noVBand="1" w:val="04A0"/>
      </w:tblPr>
      <w:tblGrid>
        <w:gridCol w:w="4680"/>
        <w:gridCol w:w="4680"/>
      </w:tblGrid>
      <w:tr>
        <w:tc>
          <w:tcPr>
            <w:tcW w:type="dxa" w:w="288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Directory</w:t>
            </w:r>
          </w:p>
        </w:tc>
        <w:tc>
          <w:tcPr>
            <w:tcW w:type="dxa" w:w="648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Contents</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results/phase1/</w:t>
            </w:r>
          </w:p>
        </w:tc>
        <w:tc>
          <w:tcPr>
            <w:tcW w:type="dxa" w:w="64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MEME/FIMO outputs, predicted_sites.csv, conservation_status.csv</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results/phase2/</w:t>
            </w:r>
          </w:p>
        </w:tc>
        <w:tc>
          <w:tcPr>
            <w:tcW w:type="dxa" w:w="64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condition_A/B/C/D.npz, sweep results, phase2_summary.json</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results/phase3/</w:t>
            </w:r>
          </w:p>
        </w:tc>
        <w:tc>
          <w:tcPr>
            <w:tcW w:type="dxa" w:w="64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noise_metrics.csv, statistical_tests.csv, bootstrap_results.csv, sensitivity_data.csv</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results/phase5/</w:t>
            </w:r>
          </w:p>
        </w:tc>
        <w:tc>
          <w:tcPr>
            <w:tcW w:type="dxa" w:w="64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energy_parameters.json, mcmc_summary.json, mcmc_posteriors.npz, repression_curves.csv, operator_classifications.csv</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results/phase6/</w:t>
            </w:r>
          </w:p>
        </w:tc>
        <w:tc>
          <w:tcPr>
            <w:tcW w:type="dxa" w:w="64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24 condition NPZ files, persistence_fractions.csv, mutual_information.csv, phase_diagram.csv</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results/figures/</w:t>
            </w:r>
          </w:p>
        </w:tc>
        <w:tc>
          <w:tcPr>
            <w:tcW w:type="dxa" w:w="64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fig1–fig8 PNGs (publication quality, 300 dpi)</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results/extended_figures/</w:t>
            </w:r>
          </w:p>
        </w:tc>
        <w:tc>
          <w:tcPr>
            <w:tcW w:type="dxa" w:w="64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fig9–fig14 PNGs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results/phase8/ (NEW)</w:t>
            </w:r>
          </w:p>
        </w:tc>
        <w:tc>
          <w:tcPr>
            <w:tcW w:type="dxa" w:w="64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autocorrelation.csv, dwell_times.csv, psd_data.csv, phase8_summary.json</w:t>
            </w:r>
          </w:p>
        </w:tc>
      </w:tr>
      <w:tr>
        <w:tc>
          <w:tcPr>
            <w:tcW w:type="dxa" w:w="28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results/phase9/ (NEW)</w:t>
            </w:r>
          </w:p>
        </w:tc>
        <w:tc>
          <w:tcPr>
            <w:tcW w:type="dxa" w:w="648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symmetrization_sweep.csv, concentration_sweep.csv, ic50_results.json, phase9_summary.json</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results/new_figures/ (NEW)</w:t>
            </w:r>
          </w:p>
        </w:tc>
        <w:tc>
          <w:tcPr>
            <w:tcW w:type="dxa" w:w="648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fig15–fig19 PNGs</w:t>
            </w:r>
          </w:p>
        </w:tc>
      </w:tr>
    </w:tbl>
    <w:p/>
    <w:p>
      <w:pPr>
        <w:spacing w:before="240" w:after="80"/>
      </w:pPr>
      <w:r>
        <w:rPr>
          <w:rFonts w:ascii="Calibri" w:hAnsi="Calibri"/>
          <w:b/>
          <w:color w:val="2E5090"/>
          <w:sz w:val="24"/>
        </w:rPr>
        <w:t>Group 13: Documentation</w:t>
      </w:r>
    </w:p>
    <w:tbl>
      <w:tblPr>
        <w:tblW w:type="auto" w:w="0"/>
        <w:jc w:val="center"/>
        <w:tblLayout w:type="fixed"/>
        <w:tblLook w:firstColumn="1" w:firstRow="1" w:lastColumn="0" w:lastRow="0" w:noHBand="0" w:noVBand="1" w:val="04A0"/>
      </w:tblPr>
      <w:tblGrid>
        <w:gridCol w:w="4680"/>
        <w:gridCol w:w="4680"/>
      </w:tblGrid>
      <w:tr>
        <w:tc>
          <w:tcPr>
            <w:tcW w:type="dxa" w:w="360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File</w:t>
            </w:r>
          </w:p>
        </w:tc>
        <w:tc>
          <w:tcPr>
            <w:tcW w:type="dxa" w:w="576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Description</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HANDOFF.md</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Session handoff notes and current state</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PROJECT_PROPOSAL.md</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Original project proposal</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PHASE2_ARCHITECTURE.md</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 2 design document</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FULL_PROJECT_ARCHITECTURE.md</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Complete project architecture reference</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BUILD_REPORT.md</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Build and validation report</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ENIGMA_Manuscript_v2.docx</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version 2 (current)</w:t>
            </w:r>
          </w:p>
        </w:tc>
      </w:tr>
      <w:tr>
        <w:tc>
          <w:tcPr>
            <w:tcW w:type="dxa" w:w="360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ENIGMA_Project_Proposal_v3.docx</w:t>
            </w:r>
          </w:p>
        </w:tc>
        <w:tc>
          <w:tcPr>
            <w:tcW w:type="dxa" w:w="576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Project proposal version 3</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ENIGMA_Project_Plan.docx</w:t>
            </w:r>
          </w:p>
        </w:tc>
        <w:tc>
          <w:tcPr>
            <w:tcW w:type="dxa" w:w="576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This document</w:t>
            </w:r>
          </w:p>
        </w:tc>
      </w:tr>
    </w:tbl>
    <w:p/>
    <w:p>
      <w:r>
        <w:br w:type="page"/>
      </w:r>
    </w:p>
    <w:p>
      <w:pPr>
        <w:jc w:val="left"/>
      </w:pPr>
      <w:r>
        <w:rPr>
          <w:rFonts w:ascii="Calibri" w:hAnsi="Calibri"/>
          <w:b/>
          <w:color w:val="1A1A2E"/>
          <w:sz w:val="32"/>
        </w:rPr>
        <w:t>7. SUCCESS CRITERIA</w:t>
      </w:r>
    </w:p>
    <w:p>
      <w:r>
        <w:rPr>
          <w:rFonts w:ascii="Calibri" w:hAnsi="Calibri"/>
          <w:sz w:val="22"/>
        </w:rPr>
        <w:t>The following table lists all quantitative success criteria for the project. Criteria 1–5 and 8–9 have been validated in completed phases. Criteria 6–7 and 10 are pending completion of new phases.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3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w:t>
            </w:r>
          </w:p>
        </w:tc>
        <w:tc>
          <w:tcPr>
            <w:tcW w:type="dxa" w:w="259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Criterion</w:t>
            </w:r>
          </w:p>
        </w:tc>
        <w:tc>
          <w:tcPr>
            <w:tcW w:type="dxa" w:w="2304"/>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Metric</w:t>
            </w:r>
          </w:p>
        </w:tc>
        <w:tc>
          <w:tcPr>
            <w:tcW w:type="dxa" w:w="2016"/>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Threshold</w:t>
            </w:r>
          </w:p>
        </w:tc>
        <w:tc>
          <w:tcPr>
            <w:tcW w:type="dxa" w:w="2016"/>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Status</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Motif discovery validates known operator</w:t>
            </w:r>
          </w:p>
        </w:tc>
        <w:tc>
          <w:tcPr>
            <w:tcW w:type="dxa" w:w="2304"/>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FIMO #1 hit in operator region</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 &lt; 1e-8</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(p=1.1e-11)</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CV(asymmetric) &gt; CV(symmetric)</w:t>
            </w:r>
          </w:p>
        </w:tc>
        <w:tc>
          <w:tcPr>
            <w:tcW w:type="dxa" w:w="2304"/>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Bootstrap 95% CI</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CI entirely above zero</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(0.023–0.037)</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3</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 robust across MCMC posterior</w:t>
            </w:r>
          </w:p>
        </w:tc>
        <w:tc>
          <w:tcPr>
            <w:tcW w:type="dxa" w:w="2304"/>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Fraction of samples with CV_asym &gt; CV_sym</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&gt;95%</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(100%)</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4</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 robust under autoregulation</w:t>
            </w:r>
          </w:p>
        </w:tc>
        <w:tc>
          <w:tcPr>
            <w:tcW w:type="dxa" w:w="2304"/>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Two-species CV difference</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&gt;0</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(0.200 vs 0.197)</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5</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Result robust across environments</w:t>
            </w:r>
          </w:p>
        </w:tc>
        <w:tc>
          <w:tcPr>
            <w:tcW w:type="dxa" w:w="2304"/>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CV_asym &gt; CV_sym in all 4</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4/4</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(4/4)</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6</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tau_c shows architecture dependence</w:t>
            </w:r>
          </w:p>
        </w:tc>
        <w:tc>
          <w:tcPr>
            <w:tcW w:type="dxa" w:w="2304"/>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tau_c(asym) != tau_c(sym)</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Difference outside 95% CI of null</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PENDING</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7</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IC50 falls in biologically meaningful range</w:t>
            </w:r>
          </w:p>
        </w:tc>
        <w:tc>
          <w:tcPr>
            <w:tcW w:type="dxa" w:w="2304"/>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IC50_noise value</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Between 2.4 and 49 nM</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PENDING</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8</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Persister fractions biologically realistic</w:t>
            </w:r>
          </w:p>
        </w:tc>
        <w:tc>
          <w:tcPr>
            <w:tcW w:type="dxa" w:w="2304"/>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Calibrated fractions</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10^-4 to 10^-2 range</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(0.0028 baseline)</w:t>
            </w:r>
          </w:p>
        </w:tc>
      </w:tr>
      <w:tr>
        <w:tc>
          <w:tcPr>
            <w:tcW w:type="dxa" w:w="43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9</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code passes self-tests</w:t>
            </w:r>
          </w:p>
        </w:tc>
        <w:tc>
          <w:tcPr>
            <w:tcW w:type="dxa" w:w="2304"/>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Sanity checks</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0 failures</w:t>
            </w:r>
          </w:p>
        </w:tc>
        <w:tc>
          <w:tcPr>
            <w:tcW w:type="dxa" w:w="2016"/>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PASS for phases 1–7</w:t>
            </w:r>
          </w:p>
        </w:tc>
      </w:tr>
      <w:tr>
        <w:tc>
          <w:tcPr>
            <w:tcW w:type="dxa" w:w="43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10</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addresses all critiques</w:t>
            </w:r>
          </w:p>
        </w:tc>
        <w:tc>
          <w:tcPr>
            <w:tcW w:type="dxa" w:w="2304"/>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9 critiques from review</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addressed</w:t>
            </w:r>
          </w:p>
        </w:tc>
        <w:tc>
          <w:tcPr>
            <w:tcW w:type="dxa" w:w="2016"/>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PENDING</w:t>
            </w:r>
          </w:p>
        </w:tc>
      </w:tr>
    </w:tbl>
    <w:p/>
    <w:p>
      <w:r>
        <w:br w:type="page"/>
      </w:r>
    </w:p>
    <w:p>
      <w:pPr>
        <w:jc w:val="left"/>
      </w:pPr>
      <w:r>
        <w:rPr>
          <w:rFonts w:ascii="Calibri" w:hAnsi="Calibri"/>
          <w:b/>
          <w:color w:val="1A1A2E"/>
          <w:sz w:val="32"/>
        </w:rPr>
        <w:t>8. COMPETITION TIMELINE (REGENERON STS)</w:t>
      </w:r>
    </w:p>
    <w:p>
      <w:r>
        <w:rPr>
          <w:rFonts w:ascii="Calibri" w:hAnsi="Calibri"/>
          <w:sz w:val="22"/>
        </w:rPr>
        <w:t>The Regeneron Science Talent Search has a November 2026 submission deadline. The following timeline maps project milestones to competition requirements, ensuring all materials are prepared with adequate buffer time.</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Date</w:t>
            </w:r>
          </w:p>
        </w:tc>
        <w:tc>
          <w:tcPr>
            <w:tcW w:type="dxa" w:w="2592"/>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Milestone</w:t>
            </w:r>
          </w:p>
        </w:tc>
        <w:tc>
          <w:tcPr>
            <w:tcW w:type="dxa" w:w="5040"/>
            <w:shd w:fill="2E5090" w:val="clear"/>
            <w:tcBorders>
              <w:top w:val="single" w:sz="4" w:space="0" w:color="2E5090"/>
              <w:left w:val="single" w:sz="4" w:space="0" w:color="2E5090"/>
              <w:bottom w:val="single" w:sz="4" w:space="0" w:color="2E5090"/>
              <w:right w:val="single" w:sz="4" w:space="0" w:color="2E5090"/>
            </w:tcBorders>
          </w:tcPr>
          <w:p>
            <w:pPr>
              <w:jc w:val="left"/>
            </w:pPr>
            <w:r/>
            <w:r>
              <w:rPr>
                <w:rFonts w:ascii="Calibri" w:hAnsi="Calibri"/>
                <w:b/>
                <w:color w:val="FFFFFF"/>
                <w:sz w:val="20"/>
              </w:rPr>
              <w:t>What’s Needed</w:t>
            </w:r>
          </w:p>
        </w:tc>
      </w:tr>
      <w:tr>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April 2026</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Project plan finalized</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This document completed and reviewed; all phases scoped with clear deliverables</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May 2026</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Phases 8–9 code complete</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Temporal dynamics and noise quenching code written, tested, and validated</w:t>
            </w:r>
          </w:p>
        </w:tc>
      </w:tr>
      <w:tr>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June 2026</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simulations run</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Phase 8–9 production runs complete; results analyzed and interpreted</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July 2026</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figures complete (19 total)</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Figures 1–19 finalized at publication quality; consistent style across all</w:t>
            </w:r>
          </w:p>
        </w:tc>
      </w:tr>
      <w:tr>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August 2026</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Manuscript v3 complete</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Full paper draft with Introduction, Methods, Results, Discussion; all critiques addressed</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September 2026</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Research report draft</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20-page STS format research report; adapted from manuscript for competition audience</w:t>
            </w:r>
          </w:p>
        </w:tc>
      </w:tr>
      <w:tr>
        <w:tc>
          <w:tcPr>
            <w:tcW w:type="dxa" w:w="1728"/>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October 2026</w:t>
            </w:r>
          </w:p>
        </w:tc>
        <w:tc>
          <w:tcPr>
            <w:tcW w:type="dxa" w:w="2592"/>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Final revisions</w:t>
            </w:r>
          </w:p>
        </w:tc>
        <w:tc>
          <w:tcPr>
            <w:tcW w:type="dxa" w:w="5040"/>
            <w:shd w:fill="F2F2F2"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All materials polished; code documented; results verified reproducible from clean run</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November 2026</w:t>
            </w:r>
          </w:p>
        </w:tc>
        <w:tc>
          <w:tcPr>
            <w:tcW w:type="dxa" w:w="2592"/>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STS submission</w:t>
            </w:r>
          </w:p>
        </w:tc>
        <w:tc>
          <w:tcPr>
            <w:tcW w:type="dxa" w:w="5040"/>
            <w:shd w:fill="FFFFFF" w:val="clear"/>
            <w:tcBorders>
              <w:top w:val="single" w:sz="4" w:space="0" w:color="CCCCCC"/>
              <w:left w:val="single" w:sz="4" w:space="0" w:color="CCCCCC"/>
              <w:bottom w:val="single" w:sz="4" w:space="0" w:color="CCCCCC"/>
              <w:right w:val="single" w:sz="4" w:space="0" w:color="CCCCCC"/>
            </w:tcBorders>
          </w:tcPr>
          <w:p>
            <w:pPr>
              <w:jc w:val="left"/>
            </w:pPr>
            <w:r/>
            <w:r>
              <w:rPr>
                <w:rFonts w:ascii="Calibri" w:hAnsi="Calibri"/>
                <w:sz w:val="20"/>
              </w:rPr>
              <w:t>Research report, 1-page abstract, transcripts, teacher recommendation, Common App essay, all uploaded to STS portal</w:t>
            </w:r>
          </w:p>
        </w:tc>
      </w:tr>
    </w:tbl>
    <w:p/>
    <w:p>
      <w:r>
        <w:rPr>
          <w:rFonts w:ascii="Calibri" w:hAnsi="Calibri"/>
          <w:sz w:val="22"/>
        </w:rPr>
        <w:t>Note: The timeline above assumes a November 2026 deadline. If the deadline is earlier, compress Weeks 13–16 first (competition materials and buffer). The critical deliverable is the manuscript (Week 12), from which all competition materials derive.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