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Rough Lawyer Notes — M&amp;A Deal (Detailed)</w:t>
      </w:r>
    </w:p>
    <w:p>
      <w:r>
        <w:t>Date: 23 May 2025</w:t>
      </w:r>
    </w:p>
    <w:p>
      <w:r>
        <w:t>Client: ABC Corporation (Buyer)</w:t>
      </w:r>
    </w:p>
    <w:p>
      <w:r>
        <w:t>Target: XYZ Limited</w:t>
      </w:r>
    </w:p>
    <w:p/>
    <w:p>
      <w:pPr>
        <w:pStyle w:val="Heading2"/>
      </w:pPr>
      <w:r>
        <w:t>1. Parties Involved</w:t>
      </w:r>
    </w:p>
    <w:p>
      <w:r>
        <w:t>- Acquiring Party:</w:t>
      </w:r>
    </w:p>
    <w:p>
      <w:r>
        <w:t xml:space="preserve">  Name: ABC Corporation</w:t>
      </w:r>
    </w:p>
    <w:p>
      <w:r>
        <w:t xml:space="preserve">  Address: 123 Business Park, Wilmington, Delaware, 19801, USA</w:t>
      </w:r>
    </w:p>
    <w:p>
      <w:r>
        <w:t xml:space="preserve">  Contact Person: John Smith, CEO</w:t>
      </w:r>
    </w:p>
    <w:p>
      <w:r>
        <w:t xml:space="preserve">  Legal Structure: Delaware Corporation</w:t>
      </w:r>
    </w:p>
    <w:p>
      <w:r>
        <w:t xml:space="preserve">  Jurisdiction of Incorporation: Delaware, USA</w:t>
      </w:r>
    </w:p>
    <w:p>
      <w:r>
        <w:t xml:space="preserve">  Counsel: Law Firm A (Attorney: Mary Johnson)</w:t>
      </w:r>
    </w:p>
    <w:p/>
    <w:p>
      <w:r>
        <w:t>- Target Company:</w:t>
      </w:r>
    </w:p>
    <w:p>
      <w:r>
        <w:t xml:space="preserve">  Name: XYZ Limited</w:t>
      </w:r>
    </w:p>
    <w:p>
      <w:r>
        <w:t xml:space="preserve">  Registered Office: 456 Market Street, San Francisco, California, 94105, USA</w:t>
      </w:r>
    </w:p>
    <w:p>
      <w:r>
        <w:t xml:space="preserve">  Date of Incorporation: 12 March 2010</w:t>
      </w:r>
    </w:p>
    <w:p>
      <w:r>
        <w:t xml:space="preserve">  Directors: Alice Chen (CEO), Robert Lin (CFO)</w:t>
      </w:r>
    </w:p>
    <w:p>
      <w:r>
        <w:t xml:space="preserve">  Major Shareholders: Alice Chen (40%), Robert Lin (35%), Venture Capital Fund (25%)</w:t>
      </w:r>
    </w:p>
    <w:p>
      <w:r>
        <w:t xml:space="preserve">  Industry: SaaS (Software as a Service) - Customer Relationship Management Software</w:t>
      </w:r>
    </w:p>
    <w:p>
      <w:r>
        <w:t xml:space="preserve">  Contact Person: Sarah Lee, COO</w:t>
      </w:r>
    </w:p>
    <w:p>
      <w:r>
        <w:t xml:space="preserve">  Counsel: Law Firm B (Attorney: Michael Brown)</w:t>
      </w:r>
    </w:p>
    <w:p/>
    <w:p>
      <w:pPr>
        <w:pStyle w:val="Heading2"/>
      </w:pPr>
      <w:r>
        <w:t>2. Deal Overview</w:t>
      </w:r>
    </w:p>
    <w:p>
      <w:r>
        <w:t>- Type of Transaction:</w:t>
      </w:r>
    </w:p>
    <w:p>
      <w:r>
        <w:t xml:space="preserve">  ☐ Asset Purchase</w:t>
      </w:r>
    </w:p>
    <w:p>
      <w:r>
        <w:t xml:space="preserve">  ☑ Stock Purchase (100% shares)</w:t>
      </w:r>
    </w:p>
    <w:p>
      <w:r>
        <w:t xml:space="preserve">  ☐ Merger</w:t>
      </w:r>
    </w:p>
    <w:p>
      <w:r>
        <w:t xml:space="preserve">  ☐ Joint Venture</w:t>
      </w:r>
    </w:p>
    <w:p/>
    <w:p>
      <w:r>
        <w:t>- Deal Value:</w:t>
      </w:r>
    </w:p>
    <w:p>
      <w:r>
        <w:t xml:space="preserve">  Estimated Purchase Price: $50,000,000 USD</w:t>
      </w:r>
    </w:p>
    <w:p>
      <w:r>
        <w:t xml:space="preserve">  Payment Method:</w:t>
      </w:r>
    </w:p>
    <w:p>
      <w:r>
        <w:t xml:space="preserve">  - $30,000,000 in cash at closing</w:t>
      </w:r>
    </w:p>
    <w:p>
      <w:r>
        <w:t xml:space="preserve">  - $20,000,000 in buyer stock issuance (restricted shares)</w:t>
      </w:r>
    </w:p>
    <w:p/>
    <w:p>
      <w:r>
        <w:t>- Consideration Terms:</w:t>
      </w:r>
    </w:p>
    <w:p>
      <w:r>
        <w:t xml:space="preserve">  - Earn-out provision possible (up to $5,000,000 based on 12-month post-closing revenue targets)</w:t>
      </w:r>
    </w:p>
    <w:p>
      <w:r>
        <w:t xml:space="preserve">  - Working Capital Adjustment: Target normalized working capital to be determined after due diligence</w:t>
      </w:r>
    </w:p>
    <w:p/>
    <w:p>
      <w:r>
        <w:t>- Financing Source:</w:t>
      </w:r>
    </w:p>
    <w:p>
      <w:r>
        <w:t xml:space="preserve">  - $40,000,000 bank loan approved, pending final terms</w:t>
      </w:r>
    </w:p>
    <w:p>
      <w:r>
        <w:t xml:space="preserve">  - Remaining $10,000,000 from internal reserves</w:t>
      </w:r>
    </w:p>
    <w:p/>
    <w:p>
      <w:pPr>
        <w:pStyle w:val="Heading2"/>
      </w:pPr>
      <w:r>
        <w:t>3. Timeline &amp; Milestones</w:t>
      </w:r>
    </w:p>
    <w:p>
      <w:r>
        <w:t>- NDA Signed: 15 May 2025</w:t>
      </w:r>
    </w:p>
    <w:p>
      <w:r>
        <w:t>- Letter of Intent (LOI) Target: 31 May 2025</w:t>
      </w:r>
    </w:p>
    <w:p>
      <w:r>
        <w:t>- Due Diligence Period: 1 June – 30 June 2025</w:t>
      </w:r>
    </w:p>
    <w:p>
      <w:r>
        <w:t>- Draft SPA/Share Purchase Agreement Target: 15 July 2025</w:t>
      </w:r>
    </w:p>
    <w:p>
      <w:r>
        <w:t>- Regulatory Approvals (if applicable): Antitrust filing by 20 June 2025</w:t>
      </w:r>
    </w:p>
    <w:p>
      <w:r>
        <w:t>- Closing Date Target: 31 July 2025</w:t>
      </w:r>
    </w:p>
    <w:p/>
    <w:p>
      <w:pPr>
        <w:pStyle w:val="Heading2"/>
      </w:pPr>
      <w:r>
        <w:t>4. Confidentiality Agreement (NDA)</w:t>
      </w:r>
    </w:p>
    <w:p>
      <w:r>
        <w:t>- NDA executed on 15 May 2025</w:t>
      </w:r>
    </w:p>
    <w:p>
      <w:r>
        <w:t>- Duration: 2 years from signing</w:t>
      </w:r>
    </w:p>
    <w:p>
      <w:r>
        <w:t>- Scope: Protects all non-public information, extends to affiliates and advisors</w:t>
      </w:r>
    </w:p>
    <w:p>
      <w:r>
        <w:t>- Non-solicitation of employees for 12 months post-close</w:t>
      </w:r>
    </w:p>
    <w:p>
      <w:r>
        <w:t>- Governing law: Delaware</w:t>
      </w:r>
    </w:p>
    <w:p/>
    <w:p>
      <w:pPr>
        <w:pStyle w:val="Heading2"/>
      </w:pPr>
      <w:r>
        <w:t>5. Due Diligence Requirements</w:t>
      </w:r>
    </w:p>
    <w:p>
      <w:r>
        <w:t>Corporate &amp; Governance</w:t>
      </w:r>
    </w:p>
    <w:p>
      <w:r>
        <w:t>- Incorporation documents, bylaws, shareholder agreements</w:t>
      </w:r>
    </w:p>
    <w:p>
      <w:r>
        <w:t>- Board minutes for past 2 years</w:t>
      </w:r>
    </w:p>
    <w:p>
      <w:r>
        <w:t>- Material contracts including partnership and reseller agreements</w:t>
      </w:r>
    </w:p>
    <w:p/>
    <w:p>
      <w:r>
        <w:t>Financials</w:t>
      </w:r>
    </w:p>
    <w:p>
      <w:r>
        <w:t>- Audited financial statements (last 3 years)</w:t>
      </w:r>
    </w:p>
    <w:p>
      <w:r>
        <w:t>- Interim financial statements for current year</w:t>
      </w:r>
    </w:p>
    <w:p>
      <w:r>
        <w:t>- Tax returns and correspondence for last 5 years</w:t>
      </w:r>
    </w:p>
    <w:p>
      <w:r>
        <w:t>- Accounts receivable aging reports</w:t>
      </w:r>
    </w:p>
    <w:p/>
    <w:p>
      <w:r>
        <w:t>Intellectual Property</w:t>
      </w:r>
    </w:p>
    <w:p>
      <w:r>
        <w:t>- List of all patents, trademarks, copyrights owned or licensed</w:t>
      </w:r>
    </w:p>
    <w:p>
      <w:r>
        <w:t>- Software licenses and third-party agreements</w:t>
      </w:r>
    </w:p>
    <w:p>
      <w:r>
        <w:t>- IP assignments from employees and contractors</w:t>
      </w:r>
    </w:p>
    <w:p/>
    <w:p>
      <w:r>
        <w:t>Employment &amp; Benefits</w:t>
      </w:r>
    </w:p>
    <w:p>
      <w:r>
        <w:t>- Employee contracts for all key staff</w:t>
      </w:r>
    </w:p>
    <w:p>
      <w:r>
        <w:t>- Benefits and pension plans</w:t>
      </w:r>
    </w:p>
    <w:p>
      <w:r>
        <w:t>- Pending or threatened labor disputes</w:t>
      </w:r>
    </w:p>
    <w:p/>
    <w:p>
      <w:r>
        <w:t>Legal &amp; Litigation</w:t>
      </w:r>
    </w:p>
    <w:p>
      <w:r>
        <w:t>- Summary of all pending or threatened litigation</w:t>
      </w:r>
    </w:p>
    <w:p>
      <w:r>
        <w:t>- Compliance with applicable laws and regulations</w:t>
      </w:r>
    </w:p>
    <w:p/>
    <w:p>
      <w:r>
        <w:t>Real Estate</w:t>
      </w:r>
    </w:p>
    <w:p>
      <w:r>
        <w:t>- Lease agreements for 2 office locations in San Francisco and Seattle</w:t>
      </w:r>
    </w:p>
    <w:p>
      <w:r>
        <w:t>- Any property owned by target</w:t>
      </w:r>
    </w:p>
    <w:p/>
    <w:p>
      <w:r>
        <w:t>Regulatory Compliance</w:t>
      </w:r>
    </w:p>
    <w:p>
      <w:r>
        <w:t>- Licenses and permits relevant to SaaS operations</w:t>
      </w:r>
    </w:p>
    <w:p>
      <w:r>
        <w:t>- Data privacy policies (GDPR, CCPA compliance)</w:t>
      </w:r>
    </w:p>
    <w:p/>
    <w:p>
      <w:r>
        <w:t>Insurance</w:t>
      </w:r>
    </w:p>
    <w:p>
      <w:r>
        <w:t>- Current insurance policies and claims history</w:t>
      </w:r>
    </w:p>
    <w:p/>
    <w:p>
      <w:pPr>
        <w:pStyle w:val="Heading2"/>
      </w:pPr>
      <w:r>
        <w:t>6. Key Deal Points to Negotiate</w:t>
      </w:r>
    </w:p>
    <w:p>
      <w:r>
        <w:t>- Purchase price adjustments based on working capital and net debt at closing</w:t>
      </w:r>
    </w:p>
    <w:p>
      <w:r>
        <w:t>- Structure of earn-out: metrics, timeframe, caps</w:t>
      </w:r>
    </w:p>
    <w:p>
      <w:r>
        <w:t>- Representations and warranties from seller: accuracy of financials, IP ownership, no undisclosed liabilities</w:t>
      </w:r>
    </w:p>
    <w:p>
      <w:r>
        <w:t>- Indemnification: caps at $5 million, basket at $250,000, survival 18 months</w:t>
      </w:r>
    </w:p>
    <w:p>
      <w:r>
        <w:t>- Covenants pre- and post-closing including non-compete, confidentiality</w:t>
      </w:r>
    </w:p>
    <w:p>
      <w:r>
        <w:t>- Conditions precedent: financing, no material adverse change, regulatory approval</w:t>
      </w:r>
    </w:p>
    <w:p>
      <w:r>
        <w:t>- Termination fees and break-up penalties (2% of deal value if buyer terminates for convenience)</w:t>
      </w:r>
    </w:p>
    <w:p>
      <w:r>
        <w:t>- Dispute resolution: Arbitration in Delaware under AAA rules</w:t>
      </w:r>
    </w:p>
    <w:p/>
    <w:p>
      <w:pPr>
        <w:pStyle w:val="Heading2"/>
      </w:pPr>
      <w:r>
        <w:t>7. Regulatory and Compliance Issues</w:t>
      </w:r>
    </w:p>
    <w:p>
      <w:r>
        <w:t>- Antitrust filings in US (Hart-Scott-Rodino Act)</w:t>
      </w:r>
    </w:p>
    <w:p>
      <w:r>
        <w:t>- No foreign investment restrictions</w:t>
      </w:r>
    </w:p>
    <w:p>
      <w:r>
        <w:t>- Review of SaaS data protection compliance under GDPR and CCPA</w:t>
      </w:r>
    </w:p>
    <w:p>
      <w:r>
        <w:t>- Industry-specific licenses are valid and transferable</w:t>
      </w:r>
    </w:p>
    <w:p/>
    <w:p>
      <w:pPr>
        <w:pStyle w:val="Heading2"/>
      </w:pPr>
      <w:r>
        <w:t>8. Risks / Red Flags</w:t>
      </w:r>
    </w:p>
    <w:p>
      <w:r>
        <w:t>- IP ownership unclear for some contractor-developed modules</w:t>
      </w:r>
    </w:p>
    <w:p>
      <w:r>
        <w:t>- Potential turnover risk of CTO and other tech leaders post-closing</w:t>
      </w:r>
    </w:p>
    <w:p>
      <w:r>
        <w:t>- Pending customer contract renewal negotiations with major clients</w:t>
      </w:r>
    </w:p>
    <w:p>
      <w:r>
        <w:t>- Tax audits ongoing in one jurisdiction (state tax authority)</w:t>
      </w:r>
    </w:p>
    <w:p>
      <w:r>
        <w:t>- Environmental risk minimal (no owned properties)</w:t>
      </w:r>
    </w:p>
    <w:p/>
    <w:p>
      <w:pPr>
        <w:pStyle w:val="Heading2"/>
      </w:pPr>
      <w:r>
        <w:t>9. Client Instructions and Priorities</w:t>
      </w:r>
    </w:p>
    <w:p>
      <w:r>
        <w:t>- Close deal within 2 months, if possible</w:t>
      </w:r>
    </w:p>
    <w:p>
      <w:r>
        <w:t>- Minimize escrow and indemnity risk exposure</w:t>
      </w:r>
    </w:p>
    <w:p>
      <w:r>
        <w:t>- Protect key employees through retention agreements</w:t>
      </w:r>
    </w:p>
    <w:p>
      <w:r>
        <w:t>- Prefer Delaware law for consistency with buyer’s jurisdiction</w:t>
      </w:r>
    </w:p>
    <w:p>
      <w:r>
        <w:t>- Avoid protracted litigation risk post-closing</w:t>
      </w:r>
    </w:p>
    <w:p/>
    <w:p>
      <w:pPr>
        <w:pStyle w:val="Heading2"/>
      </w:pPr>
      <w:r>
        <w:t>10. Documents to Prepare</w:t>
      </w:r>
    </w:p>
    <w:p>
      <w:r>
        <w:t>- NDA (complete)</w:t>
      </w:r>
    </w:p>
    <w:p>
      <w:r>
        <w:t>- LOI (draft for client review)</w:t>
      </w:r>
    </w:p>
    <w:p>
      <w:r>
        <w:t>- SPA/Share Purchase Agreement</w:t>
      </w:r>
    </w:p>
    <w:p>
      <w:r>
        <w:t>- Disclosure schedules</w:t>
      </w:r>
    </w:p>
    <w:p>
      <w:r>
        <w:t>- Employment agreements for key staff post-close</w:t>
      </w:r>
    </w:p>
    <w:p>
      <w:r>
        <w:t>- Regulatory filings and notices</w:t>
      </w:r>
    </w:p>
    <w:p>
      <w:r>
        <w:t>- Closing checklist and memorandum</w:t>
      </w:r>
    </w:p>
    <w:p/>
    <w:p>
      <w:pPr>
        <w:pStyle w:val="Heading2"/>
      </w:pPr>
      <w:r>
        <w:t>11. Next Steps</w:t>
      </w:r>
    </w:p>
    <w:p>
      <w:r>
        <w:t>- Finalize LOI draft and send to client for approval by 27 May</w:t>
      </w:r>
    </w:p>
    <w:p>
      <w:r>
        <w:t>- Request financial and corporate documents for initial diligence by 1 June</w:t>
      </w:r>
    </w:p>
    <w:p>
      <w:r>
        <w:t>- Schedule call with target legal counsel for negotiation parameters week of 29 May</w:t>
      </w:r>
    </w:p>
    <w:p>
      <w:r>
        <w:t>- Begin review of key contracts and IP documentation</w:t>
      </w:r>
    </w:p>
    <w:p>
      <w:r>
        <w:t>- Coordinate with client’s financing team for loan finalization</w:t>
      </w:r>
    </w:p>
    <w:p/>
    <w:p>
      <w:pPr>
        <w:pStyle w:val="Heading2"/>
      </w:pPr>
      <w:r>
        <w:t>12. Additional Notes</w:t>
      </w:r>
    </w:p>
    <w:p>
      <w:r>
        <w:t>- Buyer interested in a clean-room data room setup for diligence</w:t>
      </w:r>
    </w:p>
    <w:p>
      <w:r>
        <w:t>- Client requests bi-weekly updates on due diligence progress</w:t>
      </w:r>
    </w:p>
    <w:p>
      <w:r>
        <w:t>- Discussed inclusion of dispute resolution clause in LOI for quick escalation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