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000000" w:rsidRDefault="009734A4">
      <w:pPr>
        <w:ind w:left="4680"/>
        <w:rPr>
          <w:sz w:val="22"/>
          <w:szCs w:val="22"/>
        </w:rPr>
      </w:pPr>
      <w:bookmarkStart w:id="0" w:name="_GoBack"/>
      <w:bookmarkEnd w:id="0"/>
    </w:p>
    <w:p w:rsidR="00000000" w:rsidRDefault="009734A4">
      <w:pPr>
        <w:pStyle w:val="Heading1"/>
      </w:pPr>
      <w:r>
        <w:t>Floating Weather Station Commonality Analysis</w:t>
      </w:r>
      <w:r>
        <w:rPr>
          <w:rStyle w:val="FootnoteReference"/>
        </w:rPr>
        <w:footnoteReference w:id="1"/>
      </w:r>
    </w:p>
    <w:p w:rsidR="00000000" w:rsidRDefault="009734A4">
      <w:pPr>
        <w:pStyle w:val="Heading2"/>
      </w:pPr>
      <w:r>
        <w:t>1. Introduction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jc w:val="both"/>
        <w:rPr>
          <w:sz w:val="22"/>
          <w:szCs w:val="22"/>
        </w:rPr>
      </w:pPr>
      <w:r>
        <w:rPr>
          <w:sz w:val="22"/>
          <w:szCs w:val="22"/>
        </w:rPr>
        <w:t>Floating Weather Station (FWS) buoys are deployed at sea and periodically report the current wi</w:t>
      </w:r>
      <w:r>
        <w:rPr>
          <w:sz w:val="22"/>
          <w:szCs w:val="22"/>
        </w:rPr>
        <w:t>nd speed via messages sent by radio. Each member of the FWS family contains an onboard computer that controls the operation of the buoy while it is at sea.</w:t>
      </w:r>
    </w:p>
    <w:p w:rsidR="00000000" w:rsidRDefault="009734A4">
      <w:pPr>
        <w:jc w:val="both"/>
        <w:rPr>
          <w:sz w:val="22"/>
          <w:szCs w:val="22"/>
        </w:rPr>
      </w:pPr>
    </w:p>
    <w:p w:rsidR="00000000" w:rsidRDefault="009734A4">
      <w:pPr>
        <w:jc w:val="both"/>
        <w:rPr>
          <w:sz w:val="22"/>
          <w:szCs w:val="22"/>
        </w:rPr>
      </w:pPr>
      <w:r>
        <w:rPr>
          <w:sz w:val="22"/>
          <w:szCs w:val="22"/>
        </w:rPr>
        <w:t>The purpose of this analysis is to provide the following capabilities for the FWS family of buoys:</w:t>
      </w:r>
    </w:p>
    <w:p w:rsidR="00000000" w:rsidRDefault="009734A4">
      <w:pPr>
        <w:jc w:val="both"/>
        <w:rPr>
          <w:sz w:val="22"/>
          <w:szCs w:val="22"/>
        </w:rPr>
      </w:pPr>
    </w:p>
    <w:p w:rsidR="00000000" w:rsidRDefault="009734A4">
      <w:pPr>
        <w:ind w:left="360" w:hanging="360"/>
        <w:jc w:val="both"/>
        <w:rPr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8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2"/>
          <w:szCs w:val="22"/>
        </w:rPr>
        <w:t>A way to specify the configuration of a particular buoy.</w:t>
      </w:r>
    </w:p>
    <w:p w:rsidR="00000000" w:rsidRDefault="009734A4">
      <w:pPr>
        <w:ind w:left="360" w:hanging="360"/>
        <w:jc w:val="both"/>
        <w:rPr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8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2"/>
          <w:szCs w:val="22"/>
        </w:rPr>
        <w:t>A way to generate, for a specified buoy configuration, the software that controls a buoy while it is at sea.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pStyle w:val="Heading2"/>
      </w:pPr>
      <w:r>
        <w:t>2. Overview</w:t>
      </w:r>
    </w:p>
    <w:p w:rsidR="00000000" w:rsidRDefault="009734A4">
      <w:pPr>
        <w:ind w:right="2160"/>
        <w:rPr>
          <w:sz w:val="22"/>
          <w:szCs w:val="22"/>
        </w:rPr>
      </w:pPr>
      <w:r>
        <w:rPr>
          <w:sz w:val="22"/>
          <w:szCs w:val="22"/>
        </w:rPr>
        <w:t>This commo</w:t>
      </w:r>
      <w:r>
        <w:rPr>
          <w:sz w:val="22"/>
          <w:szCs w:val="22"/>
        </w:rPr>
        <w:t>nality analysis is concerned with the following issues:</w:t>
      </w:r>
    </w:p>
    <w:p w:rsidR="00000000" w:rsidRDefault="009734A4">
      <w:pPr>
        <w:ind w:right="2160"/>
        <w:rPr>
          <w:sz w:val="22"/>
          <w:szCs w:val="22"/>
        </w:rPr>
      </w:pPr>
    </w:p>
    <w:p w:rsidR="00000000" w:rsidRDefault="009734A4">
      <w:pPr>
        <w:ind w:left="360" w:hanging="360"/>
        <w:rPr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8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2"/>
          <w:szCs w:val="22"/>
        </w:rPr>
        <w:t>What equipment configurations should be accommodated?</w:t>
      </w:r>
    </w:p>
    <w:p w:rsidR="00000000" w:rsidRDefault="009734A4">
      <w:pPr>
        <w:ind w:left="360" w:hanging="360"/>
        <w:rPr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2"/>
          <w:szCs w:val="22"/>
        </w:rPr>
        <w:t>What computing platforms should be used on buoys?</w:t>
      </w:r>
    </w:p>
    <w:p w:rsidR="00000000" w:rsidRDefault="009734A4">
      <w:pPr>
        <w:ind w:left="360" w:hanging="360"/>
        <w:rPr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SYMBOL 183 \f "Symbol" \s 10</w:instrText>
      </w:r>
      <w:r>
        <w:rPr>
          <w:sz w:val="24"/>
          <w:szCs w:val="24"/>
        </w:rPr>
        <w:instrText xml:space="preserve"> \h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  <w:r>
        <w:rPr>
          <w:sz w:val="22"/>
          <w:szCs w:val="22"/>
        </w:rPr>
        <w:t>What capabilities will be needed to make buoys sufficiently reliable to perform their missions?</w:t>
      </w:r>
    </w:p>
    <w:p w:rsidR="00000000" w:rsidRDefault="009734A4">
      <w:pPr>
        <w:ind w:left="360" w:hanging="360"/>
        <w:rPr>
          <w:sz w:val="22"/>
          <w:szCs w:val="22"/>
        </w:rPr>
      </w:pP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Interfaces To Other Domains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Floating Weather Stations interact with systems that are equipped to receive the signals transmitted by the onboard radio tr</w:t>
      </w:r>
      <w:r>
        <w:rPr>
          <w:sz w:val="22"/>
          <w:szCs w:val="22"/>
        </w:rPr>
        <w:t>ansmitter. Such systems may be shipboard, ground-based, or satellite-based. The software for the FWS domain interfaces with the sensors that the FWS uses to monitor wind speed, and with the transmitter that the FWS uses to send messages. FIGURE 1 shows the</w:t>
      </w:r>
      <w:r>
        <w:rPr>
          <w:sz w:val="22"/>
          <w:szCs w:val="22"/>
        </w:rPr>
        <w:t>ses domains and gives a brief indication of the nature of the interface. For example, the Sensor domain receives commands from the FWS software and sends data to it.</w:t>
      </w:r>
    </w:p>
    <w:p w:rsidR="00000000" w:rsidRDefault="009734A4">
      <w:pPr>
        <w:tabs>
          <w:tab w:val="right" w:leader="underscore" w:pos="1296"/>
        </w:tabs>
        <w:ind w:left="144" w:right="7920"/>
      </w:pPr>
      <w:r>
        <w:rPr>
          <w:noProof/>
        </w:rPr>
        <w:pict>
          <v:line id="_x0000_s1026" style="position:absolute;left:0;text-align:left;flip:x y;z-index:251658752;mso-position-horizontal-relative:text;mso-position-vertical-relative:text" from="2in,62.9pt" to="187.2pt,98.9pt" o:allowincell="f">
            <v:stroke endarrow="block"/>
          </v:line>
        </w:pict>
      </w:r>
      <w:r>
        <w:rPr>
          <w:noProof/>
        </w:rPr>
        <w:pict>
          <v:line id="_x0000_s1027" style="position:absolute;left:0;text-align:left;flip:x;z-index:251657728;mso-position-horizontal-relative:text;mso-position-vertical-relative:text" from="158.4pt,120.5pt" to="194.4pt,163.7pt" o:allowincell="f">
            <v:stroke endarrow="block"/>
          </v:line>
        </w:pict>
      </w:r>
      <w:r>
        <w:rPr>
          <w:noProof/>
        </w:rPr>
        <w:pict>
          <v:line id="_x0000_s1028" style="position:absolute;left:0;text-align:left;z-index:251656704;mso-position-horizontal-relative:text;mso-position-vertical-relative:text" from="259.2pt,120.5pt" to="324pt,178.1pt" o:allowincell="f">
            <v:stroke startarrow="block" endarrow="block"/>
          </v:line>
        </w:pict>
      </w:r>
      <w:r>
        <w:rPr>
          <w:noProof/>
        </w:rPr>
        <w:pict>
          <v:oval id="_x0000_s1029" style="position:absolute;left:0;text-align:left;margin-left:309.6pt;margin-top:170.9pt;width:1in;height:36pt;z-index:251654656;mso-position-horizontal-relative:text;mso-position-vertical-relative:text" o:allowincell="f">
            <v:textbox>
              <w:txbxContent>
                <w:p w:rsidR="00000000" w:rsidRDefault="009734A4">
                  <w:r>
                    <w:t>Sensors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left:0;text-align:left;margin-left:79.2pt;margin-top:156.5pt;width:93.6pt;height:43.2pt;z-index:251655680;mso-position-horizontal-relative:text;mso-position-vertical-relative:text" o:allowincell="f">
            <v:textbox>
              <w:txbxContent>
                <w:p w:rsidR="00000000" w:rsidRDefault="009734A4">
                  <w:r>
                    <w:t>Radio</w:t>
                  </w:r>
                </w:p>
                <w:p w:rsidR="00000000" w:rsidRDefault="009734A4">
                  <w:r>
                    <w:t>Transmission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left:0;text-align:left;margin-left:187.2pt;margin-top:84.5pt;width:79.2pt;height:43.2pt;z-index:251653632;mso-position-horizontal-relative:text;mso-position-vertical-relative:text" o:allowincell="f">
            <v:textbox>
              <w:txbxContent>
                <w:p w:rsidR="00000000" w:rsidRDefault="009734A4">
                  <w:r>
                    <w:t>FWS Software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1in;margin-top:26.9pt;width:79.2pt;height:43.2pt;z-index:251652608;mso-position-horizontal-relative:text;mso-position-vertical-relative:text" o:allowincell="f">
            <v:textbox style="mso-next-textbox:#_x0000_s1032">
              <w:txbxContent>
                <w:p w:rsidR="00000000" w:rsidRDefault="009734A4">
                  <w:r>
                    <w:t>Receiving Systems</w:t>
                  </w:r>
                </w:p>
              </w:txbxContent>
            </v:textbox>
          </v:oval>
        </w:pict>
      </w: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3" type="#_x0000_t202" style="position:absolute;left:0;text-align:left;margin-left:158.4pt;margin-top:9.7pt;width:64.8pt;height:21.6pt;z-index:251659776;mso-position-horizontal-relative:text;mso-position-vertical-relative:text" o:allowincell="f" filled="f" stroked="f">
            <v:textbox>
              <w:txbxContent>
                <w:p w:rsidR="00000000" w:rsidRDefault="009734A4">
                  <w:r>
                    <w:t>Messages</w:t>
                  </w:r>
                </w:p>
              </w:txbxContent>
            </v:textbox>
          </v:shape>
        </w:pict>
      </w: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  <w:r>
        <w:rPr>
          <w:noProof/>
        </w:rPr>
        <w:pict>
          <v:shape id="_x0000_s1034" type="#_x0000_t202" style="position:absolute;left:0;text-align:left;margin-left:273.6pt;margin-top:5.5pt;width:64.8pt;height:21.6pt;z-index:251661824;mso-position-horizontal-relative:text;mso-position-vertical-relative:text" o:allowincell="f" filled="f" stroked="f">
            <v:textbox>
              <w:txbxContent>
                <w:p w:rsidR="00000000" w:rsidRDefault="009734A4">
                  <w:r>
                    <w:t>Data</w:t>
                  </w:r>
                </w:p>
              </w:txbxContent>
            </v:textbox>
          </v:shape>
        </w:pict>
      </w:r>
    </w:p>
    <w:p w:rsidR="00000000" w:rsidRDefault="009734A4">
      <w:pPr>
        <w:tabs>
          <w:tab w:val="right" w:leader="underscore" w:pos="1296"/>
        </w:tabs>
        <w:ind w:left="144" w:right="7920"/>
      </w:pPr>
      <w:r>
        <w:rPr>
          <w:noProof/>
        </w:rPr>
        <w:pict>
          <v:shape id="_x0000_s1035" type="#_x0000_t202" style="position:absolute;left:0;text-align:left;margin-left:122.4pt;margin-top:1.2pt;width:64.8pt;height:21.6pt;z-index:251660800;mso-position-horizontal-relative:text;mso-position-vertical-relative:text" o:allowincell="f" filled="f" stroked="f">
            <v:textbox>
              <w:txbxContent>
                <w:p w:rsidR="00000000" w:rsidRDefault="009734A4">
                  <w:r>
                    <w:t>Commands</w:t>
                  </w:r>
                </w:p>
              </w:txbxContent>
            </v:textbox>
          </v:shape>
        </w:pict>
      </w:r>
    </w:p>
    <w:p w:rsidR="00000000" w:rsidRDefault="009734A4">
      <w:pPr>
        <w:tabs>
          <w:tab w:val="right" w:leader="underscore" w:pos="1296"/>
        </w:tabs>
        <w:ind w:left="144" w:right="7920"/>
      </w:pPr>
      <w:r>
        <w:rPr>
          <w:noProof/>
        </w:rPr>
        <w:pict>
          <v:shape id="_x0000_s1036" type="#_x0000_t202" style="position:absolute;left:0;text-align:left;margin-left:244.8pt;margin-top:11.3pt;width:64.8pt;height:21.6pt;z-index:251662848;mso-position-horizontal-relative:text;mso-position-vertical-relative:text" o:allowincell="f" filled="f" stroked="f">
            <v:textbox>
              <w:txbxContent>
                <w:p w:rsidR="00000000" w:rsidRDefault="009734A4">
                  <w:r>
                    <w:t>Commands</w:t>
                  </w:r>
                </w:p>
              </w:txbxContent>
            </v:textbox>
          </v:shape>
        </w:pict>
      </w: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tabs>
          <w:tab w:val="right" w:leader="underscore" w:pos="1296"/>
        </w:tabs>
        <w:ind w:left="144" w:right="7920"/>
      </w:pP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FIGURE 1. FWS Software and Interfacing Domains</w:t>
      </w: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00000" w:rsidRDefault="009734A4">
      <w:pPr>
        <w:pStyle w:val="Heading2"/>
      </w:pPr>
      <w:r>
        <w:t>3. Dictionary of Terms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18"/>
        <w:gridCol w:w="583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left="1368"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left="23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Sensor period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seconds between sensor readings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Transmission period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seconds between message transmissions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average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Given a set of value/weight pairs:</w:t>
            </w:r>
          </w:p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 (v1,w1), (v2,w2), …, (vN,WN) }</w:t>
            </w:r>
            <w:r>
              <w:rPr>
                <w:sz w:val="22"/>
                <w:szCs w:val="22"/>
              </w:rPr>
              <w:br/>
              <w:t xml:space="preserve">                                                   where w</w:t>
            </w:r>
            <w:r>
              <w:rPr>
                <w:i/>
                <w:iCs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&gt;= 0 for all i in [1..N]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>
            <w:pPr>
              <w:rPr>
                <w:sz w:val="22"/>
                <w:szCs w:val="22"/>
              </w:rPr>
            </w:pP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their Weighted average is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>
            <w:pPr>
              <w:rPr>
                <w:sz w:val="22"/>
                <w:szCs w:val="22"/>
              </w:rPr>
            </w:pP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(v1*w1 + v2*w2 + … + vN*WN) / (w1 + w2 + … + wN)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ind w:righ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 speed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734A4"/>
          <w:p w:rsidR="00000000" w:rsidRDefault="009734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speed of the wind in knots: nautical miles per hour</w:t>
            </w:r>
          </w:p>
        </w:tc>
      </w:tr>
    </w:tbl>
    <w:p w:rsidR="00000000" w:rsidRDefault="009734A4">
      <w:pPr>
        <w:rPr>
          <w:sz w:val="22"/>
          <w:szCs w:val="22"/>
        </w:rPr>
      </w:pPr>
    </w:p>
    <w:p w:rsidR="00000000" w:rsidRDefault="009734A4">
      <w:pPr>
        <w:pStyle w:val="Heading2"/>
      </w:pPr>
      <w:r>
        <w:t>4. Commonalities</w:t>
      </w:r>
    </w:p>
    <w:p w:rsidR="00000000" w:rsidRDefault="009734A4"/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The following statements are basic assumptions about the FR'S domain, i.e., they are true of all FWS systems.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Behav</w:t>
      </w:r>
      <w:r>
        <w:rPr>
          <w:sz w:val="22"/>
          <w:szCs w:val="22"/>
        </w:rPr>
        <w:t>ior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ind w:left="576" w:hanging="576"/>
        <w:rPr>
          <w:sz w:val="22"/>
          <w:szCs w:val="22"/>
        </w:rPr>
      </w:pPr>
      <w:r>
        <w:rPr>
          <w:sz w:val="22"/>
          <w:szCs w:val="22"/>
        </w:rPr>
        <w:t xml:space="preserve">C1. At fixed intervals, the FWS transmits messages containing an approximation of the current </w:t>
      </w:r>
      <w:r>
        <w:rPr>
          <w:i/>
          <w:iCs/>
          <w:sz w:val="22"/>
          <w:szCs w:val="22"/>
        </w:rPr>
        <w:t xml:space="preserve">wind speed </w:t>
      </w:r>
      <w:r>
        <w:rPr>
          <w:sz w:val="22"/>
          <w:szCs w:val="22"/>
        </w:rPr>
        <w:t>at its location.</w:t>
      </w:r>
    </w:p>
    <w:p w:rsidR="00000000" w:rsidRDefault="009734A4">
      <w:pPr>
        <w:ind w:left="576" w:hanging="576"/>
        <w:rPr>
          <w:sz w:val="22"/>
          <w:szCs w:val="22"/>
        </w:rPr>
      </w:pPr>
    </w:p>
    <w:p w:rsidR="00000000" w:rsidRDefault="009734A4">
      <w:pPr>
        <w:ind w:right="1440"/>
        <w:rPr>
          <w:sz w:val="22"/>
          <w:szCs w:val="22"/>
        </w:rPr>
      </w:pPr>
      <w:r>
        <w:rPr>
          <w:sz w:val="22"/>
          <w:szCs w:val="22"/>
        </w:rPr>
        <w:t>Devices</w:t>
      </w:r>
    </w:p>
    <w:p w:rsidR="00000000" w:rsidRDefault="009734A4">
      <w:pPr>
        <w:ind w:right="1440"/>
        <w:rPr>
          <w:sz w:val="22"/>
          <w:szCs w:val="22"/>
        </w:rPr>
      </w:pPr>
    </w:p>
    <w:p w:rsidR="00000000" w:rsidRDefault="009734A4">
      <w:pPr>
        <w:ind w:right="1440"/>
        <w:rPr>
          <w:i/>
          <w:iCs/>
          <w:sz w:val="22"/>
          <w:szCs w:val="22"/>
        </w:rPr>
      </w:pPr>
      <w:r>
        <w:rPr>
          <w:sz w:val="22"/>
          <w:szCs w:val="22"/>
        </w:rPr>
        <w:t>C3. The FWS is equipped with one or more sensors that monitor w</w:t>
      </w:r>
      <w:r>
        <w:rPr>
          <w:i/>
          <w:iCs/>
          <w:sz w:val="22"/>
          <w:szCs w:val="22"/>
        </w:rPr>
        <w:t>ind speed.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pStyle w:val="Heading2"/>
      </w:pPr>
      <w:r>
        <w:t>5. Variabilities</w:t>
      </w:r>
    </w:p>
    <w:p w:rsidR="00000000" w:rsidRDefault="009734A4">
      <w:pPr>
        <w:ind w:right="3600"/>
        <w:rPr>
          <w:sz w:val="22"/>
          <w:szCs w:val="22"/>
        </w:rPr>
      </w:pPr>
      <w:r>
        <w:rPr>
          <w:sz w:val="22"/>
          <w:szCs w:val="22"/>
        </w:rPr>
        <w:t>The following statements describe how a FWS may vary.</w:t>
      </w:r>
    </w:p>
    <w:p w:rsidR="00000000" w:rsidRDefault="009734A4">
      <w:pPr>
        <w:ind w:right="3600"/>
        <w:rPr>
          <w:sz w:val="22"/>
          <w:szCs w:val="22"/>
        </w:rPr>
      </w:pPr>
    </w:p>
    <w:p w:rsidR="00000000" w:rsidRDefault="009734A4">
      <w:pPr>
        <w:rPr>
          <w:sz w:val="22"/>
          <w:szCs w:val="22"/>
        </w:rPr>
      </w:pPr>
      <w:r>
        <w:rPr>
          <w:sz w:val="22"/>
          <w:szCs w:val="22"/>
        </w:rPr>
        <w:t>Behavior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ind w:left="576" w:hanging="576"/>
        <w:rPr>
          <w:sz w:val="22"/>
          <w:szCs w:val="22"/>
        </w:rPr>
      </w:pPr>
      <w:r>
        <w:rPr>
          <w:sz w:val="22"/>
          <w:szCs w:val="22"/>
        </w:rPr>
        <w:t>V 1. The formula used for computing w</w:t>
      </w:r>
      <w:r>
        <w:rPr>
          <w:i/>
          <w:iCs/>
          <w:sz w:val="22"/>
          <w:szCs w:val="22"/>
        </w:rPr>
        <w:t xml:space="preserve">ind speed </w:t>
      </w:r>
      <w:r>
        <w:rPr>
          <w:sz w:val="22"/>
          <w:szCs w:val="22"/>
        </w:rPr>
        <w:t>from the sensor readings may vary. In</w:t>
      </w:r>
      <w:r>
        <w:rPr>
          <w:sz w:val="22"/>
          <w:szCs w:val="22"/>
        </w:rPr>
        <w:t xml:space="preserve"> particular, the weights used for the high resolution and low resolution sensors may vary, and the number of readings of each sensor used (the history of the sensor) may vary.</w:t>
      </w:r>
    </w:p>
    <w:p w:rsidR="00000000" w:rsidRDefault="009734A4">
      <w:pPr>
        <w:rPr>
          <w:sz w:val="22"/>
          <w:szCs w:val="22"/>
        </w:rPr>
      </w:pPr>
    </w:p>
    <w:p w:rsidR="00000000" w:rsidRDefault="009734A4">
      <w:pPr>
        <w:pStyle w:val="Heading2"/>
      </w:pPr>
      <w:r>
        <w:t>6. Issues</w:t>
      </w:r>
    </w:p>
    <w:sectPr w:rsidR="00000000">
      <w:pgSz w:w="12240" w:h="15840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9734A4">
      <w:r>
        <w:separator/>
      </w:r>
    </w:p>
  </w:endnote>
  <w:endnote w:type="continuationSeparator" w:id="0">
    <w:p w:rsidR="00000000" w:rsidRDefault="0097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9734A4">
      <w:r>
        <w:separator/>
      </w:r>
    </w:p>
  </w:footnote>
  <w:footnote w:type="continuationSeparator" w:id="0">
    <w:p w:rsidR="00000000" w:rsidRDefault="009734A4">
      <w:r>
        <w:continuationSeparator/>
      </w:r>
    </w:p>
  </w:footnote>
  <w:footnote w:id="1">
    <w:p w:rsidR="00000000" w:rsidRDefault="009734A4">
      <w:pPr>
        <w:pStyle w:val="FootnoteText"/>
      </w:pPr>
      <w:r>
        <w:rPr>
          <w:rStyle w:val="FootnoteReference"/>
        </w:rPr>
        <w:footnoteRef/>
      </w:r>
      <w:r>
        <w:t xml:space="preserve"> The FWS example and commonalty analysis are taken, with permission of the authors, from the draft text of </w:t>
      </w:r>
      <w:r>
        <w:rPr>
          <w:i/>
          <w:iCs/>
        </w:rPr>
        <w:t>Engineering Domains: A Family Based Software Development Process</w:t>
      </w:r>
      <w:r>
        <w:t>, by David M. Weiss and Chi Tau Robert Lai, to be published by Addison Wesley.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CTIVE" w:val="Weiss CA.rtf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9734A4"/>
    <w:rsid w:val="009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Macintosh Word</Application>
  <DocSecurity>0</DocSecurity>
  <Lines>20</Lines>
  <Paragraphs>5</Paragraphs>
  <ScaleCrop>false</ScaleCrop>
  <Company>U of Oregon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Example: The Floating Weather Station Family</dc:title>
  <dc:subject/>
  <dc:creator>Fickas</dc:creator>
  <cp:keywords/>
  <dc:description/>
  <cp:lastModifiedBy>Stuart Faulk</cp:lastModifiedBy>
  <cp:revision>2</cp:revision>
  <dcterms:created xsi:type="dcterms:W3CDTF">2011-02-05T23:00:00Z</dcterms:created>
  <dcterms:modified xsi:type="dcterms:W3CDTF">2011-02-05T23:00:00Z</dcterms:modified>
</cp:coreProperties>
</file>