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Aayush Gandhi</w:t>
      </w:r>
      <w:r>
        <w:t xml:space="preserve"> </w:t>
      </w:r>
      <w:r>
        <w:t xml:space="preserve">Independent researcher</w:t>
      </w:r>
      <w:r>
        <w:t xml:space="preserve"> </w:t>
      </w:r>
      <w:r>
        <w:t xml:space="preserve">aayush@datumnd.com</w:t>
      </w:r>
      <w:r>
        <w:t xml:space="preserve"> </w:t>
      </w:r>
      <w:r>
        <w:t xml:space="preserve">ORCID: 0009-0003-4649-0367</w:t>
      </w:r>
    </w:p>
    <w:p>
      <w:pPr>
        <w:pStyle w:val="BodyText"/>
      </w:pPr>
      <w:r>
        <w:t xml:space="preserve">To the Editors of Computational Brain &amp; Behavior,</w:t>
      </w:r>
    </w:p>
    <w:p>
      <w:pPr>
        <w:pStyle w:val="BodyText"/>
      </w:pPr>
      <w:r>
        <w:t xml:space="preserve">I am submitting an original research article,</w:t>
      </w:r>
      <w:r>
        <w:t xml:space="preserve"> </w:t>
      </w:r>
      <w:r>
        <w:t xml:space="preserve">“A Neuroscience-Grounded Signature for Belief Imparting by</w:t>
      </w:r>
      <w:r>
        <w:t xml:space="preserve"> </w:t>
      </w:r>
      <w:r>
        <w:t xml:space="preserve">Content: convergent but modest evidence across text persuasion, real fMRI, and an in-silico encoder,”</w:t>
      </w:r>
      <w:r>
        <w:t xml:space="preserve"> </w:t>
      </w:r>
      <w:r>
        <w:t xml:space="preserve">for</w:t>
      </w:r>
      <w:r>
        <w:t xml:space="preserve"> </w:t>
      </w:r>
      <w:r>
        <w:t xml:space="preserve">consideration.</w:t>
      </w:r>
    </w:p>
    <w:p>
      <w:pPr>
        <w:pStyle w:val="BodyText"/>
      </w:pPr>
      <w:r>
        <w:t xml:space="preserve">The work sits squarely in the journal’s scope: it links a computational model of belief and choice to both</w:t>
      </w:r>
      <w:r>
        <w:t xml:space="preserve"> </w:t>
      </w:r>
      <w:r>
        <w:t xml:space="preserve">real neural data and behavior, and it tests a formal, falsifiable account across text and fMRI. The</w:t>
      </w:r>
      <w:r>
        <w:t xml:space="preserve"> </w:t>
      </w:r>
      <w:r>
        <w:t xml:space="preserve">combination of a dynamical model, an out-of-sample neural forecast, and an in-silico encoder is the kind of</w:t>
      </w:r>
      <w:r>
        <w:t xml:space="preserve"> </w:t>
      </w:r>
      <w:r>
        <w:t xml:space="preserve">model-to-brain-to-behavior integration Computational Brain &amp; Behavior publishes.</w:t>
      </w:r>
    </w:p>
    <w:p>
      <w:pPr>
        <w:pStyle w:val="BodyText"/>
      </w:pPr>
      <w:r>
        <w:t xml:space="preserve">The work asks a single question and answers it on public data: does one neuroscience-grounded signature,</w:t>
      </w:r>
      <w:r>
        <w:t xml:space="preserve"> </w:t>
      </w:r>
      <w:r>
        <w:t xml:space="preserve">computed from content, predict real belief and choice outcomes, generalize across domains, hold on real</w:t>
      </w:r>
      <w:r>
        <w:t xml:space="preserve"> </w:t>
      </w:r>
      <w:r>
        <w:t xml:space="preserve">neural data, and serve as an in-silico instrument that scores content for belief-likelihood. The</w:t>
      </w:r>
      <w:r>
        <w:t xml:space="preserve"> </w:t>
      </w:r>
      <w:r>
        <w:t xml:space="preserve">persuasion literature measures behavioral outcomes without a neural signal, and the persuasion-neuroscience</w:t>
      </w:r>
      <w:r>
        <w:t xml:space="preserve"> </w:t>
      </w:r>
      <w:r>
        <w:t xml:space="preserve">literature is passive; this study joins them and tests the joined signature in five stages.</w:t>
      </w:r>
    </w:p>
    <w:p>
      <w:pPr>
        <w:pStyle w:val="BodyText"/>
      </w:pPr>
      <w:r>
        <w:t xml:space="preserve">The main results are: a synthetic control that validates the measurement apparatus with positive and</w:t>
      </w:r>
      <w:r>
        <w:t xml:space="preserve"> </w:t>
      </w:r>
      <w:r>
        <w:t xml:space="preserve">negative controls; a real within-pair effect on ChangeMyView where the engagement channel is higher for</w:t>
      </w:r>
      <w:r>
        <w:t xml:space="preserve"> </w:t>
      </w:r>
      <w:r>
        <w:t xml:space="preserve">the argument that changed a view (Wilcoxon p = 9e-25); directional cross-domain generalization to</w:t>
      </w:r>
      <w:r>
        <w:t xml:space="preserve"> </w:t>
      </w:r>
      <w:r>
        <w:t xml:space="preserve">Persuasion-for-Good; an out-of-sample confirmation on real fMRI that the signature predicts aggregate</w:t>
      </w:r>
      <w:r>
        <w:t xml:space="preserve"> </w:t>
      </w:r>
      <w:r>
        <w:t xml:space="preserve">choice (permutation p = 0.003); a model comparison showing a parsimonious approach-minus-avoidance</w:t>
      </w:r>
      <w:r>
        <w:t xml:space="preserve"> </w:t>
      </w:r>
      <w:r>
        <w:t xml:space="preserve">composite generalizes where richer models overfit; and an in-silico belief encoder that generalizes across</w:t>
      </w:r>
      <w:r>
        <w:t xml:space="preserve"> </w:t>
      </w:r>
      <w:r>
        <w:t xml:space="preserve">domains and isolates two robust, interpretable belief levers. A formal model situates the signature in a</w:t>
      </w:r>
      <w:r>
        <w:t xml:space="preserve"> </w:t>
      </w:r>
      <w:r>
        <w:t xml:space="preserve">dynamical account of belief.</w:t>
      </w:r>
    </w:p>
    <w:p>
      <w:pPr>
        <w:pStyle w:val="BodyText"/>
      </w:pPr>
      <w:r>
        <w:t xml:space="preserve">I want to be direct about the nature of the findings, because it bears on fit. The effects are consistent</w:t>
      </w:r>
      <w:r>
        <w:t xml:space="preserve"> </w:t>
      </w:r>
      <w:r>
        <w:t xml:space="preserve">and out-of-sample across three independent data types, but modest throughout. I report every null (the</w:t>
      </w:r>
      <w:r>
        <w:t xml:space="preserve"> </w:t>
      </w:r>
      <w:r>
        <w:t xml:space="preserve">pooled increment over content features is null; the value channel does not generalize; the neural effect</w:t>
      </w:r>
      <w:r>
        <w:t xml:space="preserve"> </w:t>
      </w:r>
      <w:r>
        <w:t xml:space="preserve">is experiment-dependent) alongside every positive result, with permutation nulls, bootstrap intervals, and</w:t>
      </w:r>
      <w:r>
        <w:t xml:space="preserve"> </w:t>
      </w:r>
      <w:r>
        <w:t xml:space="preserve">pre-committed criteria. The contribution is a validated, interpretable, reproducible measurement</w:t>
      </w:r>
      <w:r>
        <w:t xml:space="preserve"> </w:t>
      </w:r>
      <w:r>
        <w:t xml:space="preserve">instrument and a real neural-data confirmation of its structure, not a large effect. This is why I am</w:t>
      </w:r>
      <w:r>
        <w:t xml:space="preserve"> </w:t>
      </w:r>
      <w:r>
        <w:t xml:space="preserve">submitting to a venue that evaluates methodological soundness and reproducibility rather than novelty or</w:t>
      </w:r>
      <w:r>
        <w:t xml:space="preserve"> </w:t>
      </w:r>
      <w:r>
        <w:t xml:space="preserve">effect magnitude.</w:t>
      </w:r>
    </w:p>
    <w:p>
      <w:pPr>
        <w:pStyle w:val="BodyText"/>
      </w:pPr>
      <w:r>
        <w:t xml:space="preserve">All code, seeds, figures, and results files are released, and every number in the manuscript is computed</w:t>
      </w:r>
      <w:r>
        <w:t xml:space="preserve"> </w:t>
      </w:r>
      <w:r>
        <w:t xml:space="preserve">by the released scripts. All datasets are public. The study involves no new human-subjects data</w:t>
      </w:r>
      <w:r>
        <w:t xml:space="preserve"> </w:t>
      </w:r>
      <w:r>
        <w:t xml:space="preserve">collection; all outcomes are from existing public datasets. The framing throughout is proof-of-risk: the</w:t>
      </w:r>
      <w:r>
        <w:t xml:space="preserve"> </w:t>
      </w:r>
      <w:r>
        <w:t xml:space="preserve">deliverable is a scoring and risk-characterization instrument, not a deployed persuasion system.</w:t>
      </w:r>
    </w:p>
    <w:p>
      <w:pPr>
        <w:pStyle w:val="BodyText"/>
      </w:pPr>
      <w:r>
        <w:t xml:space="preserve">This manuscript is not under consideration elsewhere. I declare no competing interests.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Aayush Gandhi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2026-07-04T02:47:53Z</dcterms:created>
  <dcterms:modified xsi:type="dcterms:W3CDTF">2026-07-04T02:47:53Z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