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b/>
          <w:bCs/>
          <w:color w:val="1D4E89"/>
          <w:sz w:val="64"/>
          <w:szCs w:val="64"/>
        </w:rPr>
        <w:t xml:space="preserve">MIRA</w:t>
      </w:r>
    </w:p>
    <w:p>
      <w:pPr>
        <w:spacing w:after="40"/>
        <w:jc w:val="center"/>
      </w:pPr>
      <w:r>
        <w:rPr>
          <w:sz w:val="32"/>
          <w:szCs w:val="32"/>
        </w:rPr>
        <w:t xml:space="preserve">System Documentation</w:t>
      </w:r>
    </w:p>
    <w:p>
      <w:pPr>
        <w:spacing w:after="600"/>
        <w:jc w:val="center"/>
      </w:pPr>
      <w:r>
        <w:rPr>
          <w:i/>
          <w:iCs/>
          <w:color w:val="6B6B6B"/>
          <w:sz w:val="20"/>
          <w:szCs w:val="20"/>
        </w:rPr>
        <w:t xml:space="preserve">Consolidated, current-state reference — covers all six pipeline phases, the desktop app, and bilingual voice reporting.</w:t>
      </w:r>
    </w:p>
    <w:p>
      <w:pPr>
        <w:pStyle w:val="Heading1"/>
        <w:spacing w:after="160" w:before="360"/>
      </w:pPr>
      <w:r>
        <w:t xml:space="preserve">1. What MIRA Is</w:t>
      </w:r>
    </w:p>
    <w:p>
      <w:pPr>
        <w:spacing w:after="160"/>
      </w:pPr>
      <w:r>
        <w:t xml:space="preserve">MIRA is a local, offline-first facial health observation tool. A person takes a photo through a desktop app; the pipeline detects the face, extracts specific regions (eyes, skin, lips, mouth), scores each region against a set of tunable thresholds, and turns those scores into plain-language findings. Those findings are written out as four kinds of report — a raw metrics file, a clinical-style doctor report, a friendly user report, and a spoken-language script — available in English or Hindi. Every session is saved to a per-patient folder so the same person's readings can be compared over time.</w:t>
      </w:r>
    </w:p>
    <w:p>
      <w:pPr>
        <w:spacing w:after="160"/>
      </w:pPr>
      <w:r>
        <w:rPr>
          <w:b/>
          <w:bCs/>
        </w:rPr>
        <w:t xml:space="preserve">This document covers the system as it exists today. </w:t>
      </w:r>
      <w:r>
        <w:t xml:space="preserve">It intentionally does not repeat the constant-by-constant threshold tables (see </w:t>
      </w:r>
      <w:r>
        <w:rPr>
          <w:i/>
          <w:iCs/>
        </w:rPr>
        <w:t xml:space="preserve">thresholds_documentation.docx</w:t>
      </w:r>
      <w:r>
        <w:t xml:space="preserve">) or the feature-export schema (see </w:t>
      </w:r>
      <w:r>
        <w:rPr>
          <w:i/>
          <w:iCs/>
        </w:rPr>
        <w:t xml:space="preserve">feature_vector_export_docs.docx</w:t>
      </w:r>
      <w:r>
        <w:t xml:space="preserve">) — both of those remain the authoritative reference for their topics. A separate </w:t>
      </w:r>
      <w:r>
        <w:rPr>
          <w:i/>
          <w:iCs/>
        </w:rPr>
        <w:t xml:space="preserve">MIRA_System_Audit.docx</w:t>
      </w:r>
      <w:r>
        <w:t xml:space="preserve"> covers test results, the fairness audit, and what's still open.</w:t>
      </w:r>
    </w:p>
    <w:p>
      <w:pPr>
        <w:pStyle w:val="Heading2"/>
        <w:spacing w:after="120" w:before="280"/>
      </w:pPr>
      <w:r>
        <w:t xml:space="preserve">1.1 Pipeline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Module(s)</w:t>
            </w:r>
          </w:p>
        </w:tc>
        <w:tc>
          <w:tcPr>
            <w:tcW w:type="dxa" w:w="4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phase1_face_understanding/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Detects the face and landmarks; computes symmetry, head alignment, and swelling indicators.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phase2_region_extraction/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Extracts eye, skin (forehead/cheeks/nose), lip, and mouth regions as pixel masks.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phase3_feature_analysis/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Scores each region (redness, texture, dryness, asymmetry, etc.) against thresholds.py.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phase4_observation_engine/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Converts scores into severity-labelled findings (mild / moderate / notable) and an overall verdict.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phase5_report/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Generates the metrics / doctor / user / TTS reports, in English or Hindi.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phase6_feature_vector/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Flattens every session into one row of a growing, ML-ready CSV dataset.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layer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mira_app.py, history_window.py, trend_window.py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Desktop GUI: registration, capture, results, per-patient history, and trend charts.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Voice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piper_tts.py + Piper (external)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 text-to-speech via the Piper engine, using bundled English and Hindi voice models.</w:t>
            </w:r>
          </w:p>
        </w:tc>
      </w:tr>
    </w:tbl>
    <w:p>
      <w:pPr>
        <w:pStyle w:val="Heading1"/>
        <w:spacing w:after="160" w:before="360"/>
      </w:pPr>
      <w:r>
        <w:t xml:space="preserve">2. Phase 1 — Face Detection &amp; Landmarks</w:t>
      </w:r>
    </w:p>
    <w:p>
      <w:pPr>
        <w:spacing w:after="160"/>
      </w:pPr>
      <w:r>
        <w:t xml:space="preserve">Face and landmark detection runs on MediaPipe's 468-point face mesh. Every downstream region (Phase 2) and geometry score (symmetry, head alignment, swelling) is derived from these landmark positions — nothing past this phase looks at raw pixels without going through a landmark-defined region first.</w:t>
      </w:r>
    </w:p>
    <w:p>
      <w:pPr>
        <w:spacing w:after="12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6B6B"/>
          <w:sz w:val="18"/>
          <w:szCs w:val="18"/>
        </w:rPr>
        <w:t xml:space="preserve">Figure 1. The 468-point MediaPipe face mesh MIRA's landmark detection is built on. Colored overlays mark the eye and eyebrow contours used by later phases.</w:t>
      </w:r>
    </w:p>
    <w:p>
      <w:pPr>
        <w:pStyle w:val="Heading3"/>
        <w:spacing w:after="100" w:before="200"/>
      </w:pPr>
      <w:r>
        <w:t xml:space="preserve">Bug found &amp; fixed — cheek points swapped</w:t>
      </w:r>
    </w:p>
    <w:p>
      <w:pPr>
        <w:spacing w:after="160"/>
      </w:pPr>
      <w:r>
        <w:t xml:space="preserve">An earlier version of the region logic assigned the left- and right-cheek landmark sets to the wrong side of the face. Caught during live testing (a real photo produced a mirrored cheek-redness reading), and fixed by correcting the landmark index mapping.</w:t>
      </w:r>
    </w:p>
    <w:p>
      <w:pPr>
        <w:pStyle w:val="Heading3"/>
        <w:spacing w:after="100" w:before="200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Detection assumes a single, mostly front-facing subject — not validated for multiple faces in one frame or extreme head angles.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liveness/spoof check — a photo of a photo would be processed the same as a live capture.</w:t>
      </w:r>
    </w:p>
    <w:p>
      <w:pPr>
        <w:pStyle w:val="Heading1"/>
        <w:spacing w:after="160" w:before="360"/>
      </w:pPr>
      <w:r>
        <w:t xml:space="preserve">3. Phase 2 — Region Extraction</w:t>
      </w:r>
    </w:p>
    <w:p>
      <w:pPr>
        <w:spacing w:after="160"/>
      </w:pPr>
      <w:r>
        <w:t xml:space="preserve">Turns landmark points into filled pixel masks for each region of interest, so Phase 3 can compute pixel-level statistics (color, texture, variance) only within the relevant area of the face.</w:t>
      </w:r>
    </w:p>
    <w:p>
      <w:pPr>
        <w:pStyle w:val="Heading3"/>
        <w:spacing w:after="100" w:before="200"/>
      </w:pPr>
      <w:r>
        <w:t xml:space="preserve">Regions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direct regions — MediaPipe already defines a landmark connection group for these: left eye, right eye, left eyebrow, right eyebrow, lips, and the mouth interior.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derived regions — no MediaPipe group exists, so these are built from surrounding landmarks with percentile-based fallbacks: forehead, left cheek, right cheek, and chin/jaw.</w:t>
      </w:r>
    </w:p>
    <w:p>
      <w:pPr>
        <w:pStyle w:val="Heading3"/>
        <w:spacing w:after="100" w:before="200"/>
      </w:pPr>
      <w:r>
        <w:t xml:space="preserve">Known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Forehead region can be partly occluded by hair/fringe — affects downstream texture and redness readings for that region specifically; flagged, not yet corrected for.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Cheek region can overlap the eye bounding box on some face shapes, which needs a tighter mask boundary.</w:t>
      </w:r>
    </w:p>
    <w:p>
      <w:pPr>
        <w:pStyle w:val="Heading1"/>
        <w:spacing w:after="160" w:before="360"/>
      </w:pPr>
      <w:r>
        <w:t xml:space="preserve">4. Phase 3 — Feature Analysis</w:t>
      </w:r>
    </w:p>
    <w:p>
      <w:pPr>
        <w:spacing w:after="160"/>
      </w:pPr>
      <w:r>
        <w:t xml:space="preserve">Computes the actual numeric scores. Every score follows the same shape: a raw pixel/landmark measurement is normalized against constants in thresholds.py into a 0–100 score.</w:t>
      </w:r>
    </w:p>
    <w:p>
      <w:pPr>
        <w:pStyle w:val="Heading3"/>
        <w:spacing w:after="100" w:before="200"/>
      </w:pPr>
      <w:r>
        <w:t xml:space="preserve">Eyes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Openness ratio (EAR) — the standard eye-aspect-ratio calculation (vertical eye landmark distances over horizontal).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Redness score — relative red-channel dominance within the eye region.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 circle score — reference luminance minus the mean luminance of the under-eye area.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Puffiness score — pixel-intensity variance in the upper eye region.</w:t>
      </w:r>
    </w:p>
    <w:p>
      <w:pPr>
        <w:pStyle w:val="Heading3"/>
        <w:spacing w:after="100" w:before="200"/>
      </w:pPr>
      <w:r>
        <w:t xml:space="preserve">Skin (forehead, both cheeks, nose)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Redness score — same relative red-channel method as eye redness.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Texture irregularity — variance of a Laplacian edge-detector pass over the region.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Acne score / spot count — a Gaussian-blur pass estimates local skin variation to flag likely spots.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Low-light flag — raised when the region's mean masked luminance falls below a threshold, so low-confidence readings are marked rather than reported as if clean.</w:t>
      </w:r>
    </w:p>
    <w:p>
      <w:pPr>
        <w:pStyle w:val="Heading3"/>
        <w:spacing w:after="100" w:before="200"/>
      </w:pPr>
      <w:r>
        <w:t xml:space="preserve">Lips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Dryness score — the same Laplacian-variance texture method used for skin.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consistency — 100 minus the average per-channel standard deviation across lip pixels.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Pallor score — inverse of mean HSV saturation across lip pixels.</w:t>
      </w:r>
    </w:p>
    <w:p>
      <w:pPr>
        <w:pStyle w:val="Heading3"/>
        <w:spacing w:after="100" w:before="200"/>
      </w:pPr>
      <w:r>
        <w:t xml:space="preserve">Smile / mouth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Mouth aspect ratio (MAR) — mouth width divided by mouth height.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Corner asymmetry — vertical difference between the two mouth corners.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Curvature score — how far the mouth corners sit above or below the midline.</w:t>
      </w:r>
    </w:p>
    <w:p>
      <w:pPr>
        <w:pStyle w:val="Heading3"/>
        <w:spacing w:after="100" w:before="200"/>
      </w:pPr>
      <w:r>
        <w:t xml:space="preserve">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Swelling score — ratio of cheek-point distance to eye-corner distance.</w:t>
      </w:r>
    </w:p>
    <w:p>
      <w:pPr>
        <w:pStyle w:val="Heading3"/>
        <w:spacing w:after="100" w:before="200"/>
      </w:pPr>
      <w:r>
        <w:t xml:space="preserve">Bugs found during live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Polygon edge artifact — nose texture and lip dryness both scored a flat 100/100 on certain captures; traced to the region polygon including a thin sliver of background pixels at the edge.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Mouth aspect ratio 100/100 collision — a closed-mouth fallback path returned the same score as a genuinely wide-open mouth; fixed by separating the two cases explicitly.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Forehead redness 57.7 — an oddly specific mid-range score traced to hair occlusion reducing the effective sample area rather than a real skin-redness signal; the low-light/occlusion flagging above was added partly in response to this.</w:t>
      </w:r>
    </w:p>
    <w:p>
      <w:pPr>
        <w:pStyle w:val="Heading1"/>
        <w:spacing w:after="160" w:before="360"/>
      </w:pPr>
      <w:r>
        <w:t xml:space="preserve">5. Phase 4 — Observation Engine</w:t>
      </w:r>
    </w:p>
    <w:p>
      <w:pPr>
        <w:spacing w:after="160"/>
      </w:pPr>
      <w:r>
        <w:t xml:space="preserve">Converts the Phase 3 numeric scores into severity-labelled findings (mild / moderate / notable) using the SeverityBand cut points defined in thresholds.py, then rolls every section's findings into one overall verdict.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Face — one verdict each for symmetry, head tilt, proportion, and swelling.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Eyes — dark circles, redness, and puffiness checked separately per eye.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Skin — acne/spot count, texture, and redness checked separately per region (forehead, left cheek, right cheek, nose).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Lips — dryness (also lighting-gated), color evenness, and pallor.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Mouth shape — corner asymmetry and curvature, kept separate from the smile-detection use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— collects every finding across all sections, counts how many fall in each severity band, and produces the single spoken_label used in reports (“you're doing great” through “a few things stood out”).</w:t>
      </w:r>
    </w:p>
    <w:p>
      <w:pPr>
        <w:pStyle w:val="Heading1"/>
        <w:spacing w:after="160" w:before="360"/>
      </w:pPr>
      <w:r>
        <w:t xml:space="preserve">6. Phase 5 — Report Generation</w:t>
      </w:r>
    </w:p>
    <w:p>
      <w:pPr>
        <w:spacing w:after="160"/>
      </w:pPr>
      <w:r>
        <w:t xml:space="preserve">Every session produces four outputs from the same underlying Phase 1/3/4 results: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7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Metrics Report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flat JSON dump of every raw Phase 1 + Phase 3 score, for QA and downstream tooling — not meant for a person to read directly.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Doctor Report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clinical PDF: full raw scores, per-metric severity, and the low-light/occlusion flags, formatted for a healthcare professional.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Report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friendly PDF for the person who submitted the photo — plain-language findings, no raw numbers.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TTS Report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plain-text script, structured for a voice pipeline (greeting → section-by-section findings → closing), available in English or Hindi.</w:t>
            </w:r>
          </w:p>
        </w:tc>
      </w:tr>
    </w:tbl>
    <w:p>
      <w:pPr>
        <w:pStyle w:val="Heading2"/>
        <w:spacing w:after="120" w:before="280"/>
      </w:pPr>
      <w:r>
        <w:t xml:space="preserve">6.1 Hindi localization</w:t>
      </w:r>
    </w:p>
    <w:p>
      <w:pPr>
        <w:spacing w:after="160"/>
      </w:pPr>
      <w:r>
        <w:t xml:space="preserve">The Hindi path (phase5_report/hindi_translation.py) is not a generic translator — it's a purpose-built, layered system for the fixed, template-driven vocabulary the TTS report is built from: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1 — scaffold phrases: hand-translated fixed text (greeting, section intros, closings, the medical disclaimer).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2 — connectors: the linking words used to string multiple findings together in one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3 — dates: only the month name is localized; digits stay Latin, matching normal spoken/written Hindi convention.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4 — structural templates: re-parses whole finding sentences and rebuilds them in correct Hindi word order (region → पर → finding), with gender-agreeing severity words, instead of swapping words in place inside English syntax.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5 — word/phrase dictionary: fallback substitution for whatever vocabulary isn't covered by a structural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6 — a scoped cleanup pass that collapses an accidental repeated noun, without touching genuine Hindi reduplication.</w:t>
      </w:r>
    </w:p>
    <w:p>
      <w:pPr>
        <w:spacing w:after="160"/>
      </w:pPr>
      <w:r>
        <w:rPr>
          <w:b/>
          <w:bCs/>
        </w:rPr>
        <w:t xml:space="preserve">Bug fixed: </w:t>
      </w:r>
      <w:r>
        <w:t xml:space="preserve">a finding like “uneven skin texture” previously produced a doubled “त्वचा त्वचा”, because both the category word and the finding phrase were translated independently. Layer 4 fixes this by not re-translating the leading category word, since the section intro already establishes the topic.</w:t>
      </w:r>
    </w:p>
    <w:p>
      <w:pPr>
        <w:spacing w:after="160"/>
      </w:pPr>
      <w:r>
        <w:rPr>
          <w:b/>
          <w:bCs/>
        </w:rPr>
        <w:t xml:space="preserve">Known limitation: </w:t>
      </w:r>
      <w:r>
        <w:t xml:space="preserve">Layer 5's word-substitution fallback means a genuinely novel finding sentence outside the template catalog can still come out as a Hindi/English mix rather than fluent Hindi. This degrades gracefully — nothing is dropped or garbled — but is not yet fully covered.</w:t>
      </w:r>
    </w:p>
    <w:p>
      <w:pPr>
        <w:pStyle w:val="Heading2"/>
        <w:spacing w:after="120" w:before="280"/>
      </w:pPr>
      <w:r>
        <w:t xml:space="preserve">6.2 Voice synthesis (Piper TTS)</w:t>
      </w:r>
    </w:p>
    <w:p>
      <w:pPr>
        <w:spacing w:after="160"/>
      </w:pPr>
      <w:r>
        <w:t xml:space="preserve">piper_tts.py wraps the local Piper binary. Three voice models are bundled: en_US-lessac-medium (verified, has a confirmed test.wav output), en_US-amy-medium, and hi_IN-priyamvada-medium, each with its matching .onnx.json config. An unavailable binary or missing model path degrades gracefully (TTSResult(success=False, source="unavailable")) rather than raising an error.</w:t>
      </w:r>
    </w:p>
    <w:p>
      <w:pPr>
        <w:spacing w:after="160"/>
      </w:pPr>
      <w:r>
        <w:rPr>
          <w:b/>
          <w:bCs/>
        </w:rPr>
        <w:t xml:space="preserve">Integration gap: </w:t>
      </w:r>
      <w:r>
        <w:t xml:space="preserve">Piper itself is proven working standalone (lessac voice, verified test.wav). The desktop app's pipeline currently writes the TTS script as text only (tts_report_*.txt) — it does not yet call piper_tts.py automatically to produce the audio file as part of a normal session. Wiring that call in is the remaining step to make spoken reports work end-to-end from the GUI, not a synthesis problem.</w:t>
      </w:r>
    </w:p>
    <w:p>
      <w:pPr>
        <w:pStyle w:val="Heading1"/>
        <w:spacing w:after="160" w:before="360"/>
      </w:pPr>
      <w:r>
        <w:t xml:space="preserve">7. Phase 6 — Feature Vector Export</w:t>
      </w:r>
    </w:p>
    <w:p>
      <w:pPr>
        <w:spacing w:after="160"/>
      </w:pPr>
      <w:r>
        <w:t xml:space="preserve">Flattens Phase 1 + Phase 3 (and optionally Phase 4 confidence) into one flat, all-numeric CSV row per capture — the bridge from per-session analysis objects to an ML-ready training dataset. Full schema, column list, and design rationale are documented separately in feature_vector_export_docs.docx; the short version: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36 feature columns (identity, face geometry, eyes, skin, lips, mouth) plus one trailing metadata column (overall_confidence), kept separate since it's derived from the same scores rather than an independent signal.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regions are stored as empty cells, never zero-filled, so a missing capture can't be mistaken for a real “no signs” reading.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Column order is fixed regardless of which regions were detected in a given capture, so the CSV is directly usable as a training matrix.</w:t>
      </w:r>
    </w:p>
    <w:p>
      <w:pPr>
        <w:pStyle w:val="Heading1"/>
        <w:spacing w:after="160" w:before="360"/>
      </w:pPr>
      <w:r>
        <w:t xml:space="preserve">8. Desktop Application</w:t>
      </w:r>
    </w:p>
    <w:p>
      <w:pPr>
        <w:spacing w:after="160"/>
      </w:pPr>
      <w:r>
        <w:t xml:space="preserve">mira_app.py is a Tkinter desktop app that wires the whole pipeline together for an end user, running the analysis as a subprocess and rendering each stage as its own screen: registration → capture guidelines → running/progress → results → history → trends.</w:t>
      </w:r>
    </w:p>
    <w:p>
      <w:pPr>
        <w:pStyle w:val="Heading3"/>
        <w:spacing w:after="100" w:before="200"/>
      </w:pPr>
      <w:r>
        <w:t xml:space="preserve">Registration</w:t>
      </w:r>
    </w:p>
    <w:p>
      <w:pPr>
        <w:spacing w:after="160"/>
      </w:pPr>
      <w:r>
        <w:t xml:space="preserve">Captures name and a patient ID, validates and normalizes both, and maintains a simple JSON registry (database/registry.json) mapping each patient to their own folder. Each session under that folder gets photos/, reports/, and a per-patient dataset.csv.</w:t>
      </w:r>
    </w:p>
    <w:p>
      <w:pPr>
        <w:pStyle w:val="Heading3"/>
        <w:spacing w:after="100" w:before="200"/>
      </w:pPr>
      <w:r>
        <w:t xml:space="preserve">History &amp; trends</w:t>
      </w:r>
    </w:p>
    <w:p>
      <w:pPr>
        <w:spacing w:after="160"/>
      </w:pPr>
      <w:r>
        <w:t xml:space="preserve">An earlier version of this feature used a separate SQLite-backed history/trend package that no longer exists in this codebase. History and trends are now both read directly from the same per-patient dataset.csv that Phase 6 already writes — no separate database, no duplicate storage. history_window.py shows each past session as a card (photo, headline scores, a placeholder audio control since TTS audio isn't auto-generated yet — see 6.2); trend_window.py aggregates the same session data to plot one metric over time, reporting plain direction of change (up / down / roughly stable) without asserting whether that direction is clinically good or bad.</w:t>
      </w:r>
    </w:p>
    <w:p>
      <w:pPr>
        <w:pStyle w:val="Heading3"/>
        <w:spacing w:after="100" w:before="200"/>
      </w:pPr>
      <w:r>
        <w:t xml:space="preserve">Known limitation</w:t>
      </w:r>
    </w:p>
    <w:p>
      <w:pPr>
        <w:spacing w:after="160"/>
      </w:pPr>
      <w:r>
        <w:t xml:space="preserve">All of the above is unit-tested at the data layer, but no human has yet run a full click-through of the live GUI — registration through to viewing a trend chart — to confirm it renders and behaves correctly end to end.</w:t>
      </w:r>
    </w:p>
    <w:p>
      <w:pPr>
        <w:pStyle w:val="Heading1"/>
        <w:spacing w:after="160" w:before="360"/>
      </w:pPr>
      <w:r>
        <w:t xml:space="preserve">9. Where to look for more detail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6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threshold constant, its basis (calibrated vs. asserted), and priority for revalidation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thresholds_documentation.docx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CSV schema, column list, and training-data notes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feature_vector_export_docs.docx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results, fairness audit, maturity assessment, and outstanding work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MIRA_System_Audit.docx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8b1cff5c21e413780fceec2a1fd3c2cda772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2026-09-27T08:26:10.370Z</dcterms:created>
  <dcterms:modified xsi:type="dcterms:W3CDTF">2026-09-27T08:26:10.370Z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