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onsolas" w:cs="Consolas" w:eastAsia="Consolas" w:hAnsi="Consolas"/>
          <w:b/>
          <w:bCs/>
          <w:color w:val="1F3864"/>
          <w:sz w:val="56"/>
          <w:szCs w:val="56"/>
        </w:rPr>
        <w:t xml:space="preserve">thresholds.py</w:t>
      </w:r>
    </w:p>
    <w:p>
      <w:pPr>
        <w:spacing w:after="200" w:before="200"/>
        <w:jc w:val="center"/>
      </w:pPr>
      <w:r>
        <w:rPr>
          <w:color w:val="2E5395"/>
          <w:sz w:val="32"/>
          <w:szCs w:val="32"/>
        </w:rPr>
        <w:t xml:space="preserve">Documentation &amp; Basis Review</w:t>
      </w:r>
    </w:p>
    <w:p>
      <w:pPr>
        <w:spacing w:before="400"/>
        <w:jc w:val="center"/>
      </w:pPr>
      <w:r>
        <w:rPr>
          <w:i/>
          <w:iCs/>
          <w:color w:val="555555"/>
          <w:sz w:val="22"/>
          <w:szCs w:val="22"/>
        </w:rPr>
        <w:t xml:space="preserve">Mira — Centralized scoring &amp; labelling thresholds (Phases 1, 3, 4, A2)</w:t>
      </w:r>
    </w:p>
    <w:p>
      <w:r>
        <w:br w:type="page"/>
      </w:r>
    </w:p>
    <w:p>
      <w:pPr>
        <w:pStyle w:val="Heading1"/>
        <w:spacing w:after="200" w:before="400"/>
      </w:pPr>
      <w:r>
        <w:rPr>
          <w:b/>
          <w:bCs/>
          <w:color w:val="1F3864"/>
        </w:rPr>
        <w:t xml:space="preserve">Overview</w:t>
      </w:r>
    </w:p>
    <w:p>
      <w:pPr>
        <w:spacing w:after="160" w:line="276"/>
      </w:pPr>
      <w:r>
        <w:t xml:space="preserve">thresholds.py is the single source of truth for every tunable numeric constant used across Mira's scoring and labelling code in Phases 1, 3, 4, and the A2 trend layer. Constants are grouped into small frozen dataclass instances (e.g. EAR.closed instead of a bare 0.15) so that call-sites read with intent and so that tuning a value is a one-file change rather than a grep-and-pray across the pipeline.</w:t>
      </w:r>
    </w:p>
    <w:p>
      <w:pPr>
        <w:spacing w:after="160" w:line="276"/>
      </w:pPr>
      <w:r>
        <w:t xml:space="preserve">Almost every score in the pipeline follows the same shape: a raw measurement (a pixel-region variance, a landmark distance ratio, a color channel mean) is normalized against one or two constants from this file into a 0-100 score, and that score is then compared against further constants from this file to produce a text label (“Mild”, “Moderate”, “Highly Symmetric”, etc.). This document walks through every group in the file, explains what each constant does, and — critically — flags which ones are backed by any real derivation versus which ones are asserted defaults that have never been checked against real data.</w:t>
      </w:r>
    </w:p>
    <w:p>
      <w:pPr>
        <w:spacing w:after="160" w:line="276"/>
      </w:pPr>
      <w:r>
        <w:t xml:space="preserve">Headline finding: outside of the skin-tone gate (which has a documented, if informal, calibration process) and the EAR constants (which have external published literature to compare against, albeit for a different landmark set), essentially every constant in this file is an asserted default. That is not necessarily a problem today — the pipeline needs to produce a number from somewhere, and reasonable defaults let the rest of the system get built and tested. But it means the real validation work has not happened yet, and this document is meant to make it easy to find exactly where to point the upcoming 30-day/10-person dataset once it's collected.</w:t>
      </w:r>
    </w:p>
    <w:p>
      <w:pPr>
        <w:spacing w:after="200"/>
      </w:pPr>
    </w:p>
    <w:p>
      <w:pPr>
        <w:pStyle w:val="Heading1"/>
        <w:spacing w:after="200" w:before="400"/>
      </w:pPr>
      <w:r>
        <w:rPr>
          <w:b/>
          <w:bCs/>
          <w:color w:val="1F3864"/>
        </w:rPr>
        <w:t xml:space="preserve">How to read this document</w:t>
      </w:r>
    </w:p>
    <w:p>
      <w:pPr>
        <w:spacing w:after="160" w:line="276"/>
      </w:pPr>
      <w:r>
        <w:t xml:space="preserve">Every constant in thresholds.py is tagged below with a basis label, based on whether there is any recorded derivation, calibration process, or external reference behind its value:</w:t>
      </w:r>
    </w:p>
    <w:p>
      <w:pPr>
        <w:pStyle w:val="ListParagraph"/>
        <w:numPr>
          <w:ilvl w:val="0"/>
          <w:numId w:val="1"/>
        </w:numPr>
        <w:spacing w:after="80" w:line="276"/>
      </w:pPr>
      <w:r>
        <w:t xml:space="preserve">CALIBRATED — there is a documented process behind the value: measured against real samples, checked against known cases, or otherwise derived rather than guessed.</w:t>
      </w:r>
    </w:p>
    <w:p>
      <w:pPr>
        <w:pStyle w:val="ListParagraph"/>
        <w:numPr>
          <w:ilvl w:val="0"/>
          <w:numId w:val="1"/>
        </w:numPr>
        <w:spacing w:after="80" w:line="276"/>
      </w:pPr>
      <w:r>
        <w:t xml:space="preserve">ASSERTED — the value is a plausible-sounding constant with no recorded derivation anywhere in the file, comments, or codebase. This is the majority of the file.</w:t>
      </w:r>
    </w:p>
    <w:p>
      <w:pPr>
        <w:pStyle w:val="ListParagraph"/>
        <w:numPr>
          <w:ilvl w:val="0"/>
          <w:numId w:val="1"/>
        </w:numPr>
        <w:spacing w:after="80" w:line="276"/>
      </w:pPr>
      <w:r>
        <w:t xml:space="preserve">MATCHED / INHERITED — the value is deliberately set equal to (or derived from) another constant elsewhere in the pipeline, so its correctness depends on that other constant rather than being an independent guess.</w:t>
      </w:r>
    </w:p>
    <w:p>
      <w:pPr>
        <w:pStyle w:val="ListParagraph"/>
        <w:numPr>
          <w:ilvl w:val="0"/>
          <w:numId w:val="1"/>
        </w:numPr>
        <w:spacing w:after="80" w:line="276"/>
      </w:pPr>
      <w:r>
        <w:t xml:space="preserve">FALLBACK-ONLY — the value only fires in a code path that bypasses the normal per-person calibration (e.g. direct unit-test calls), so it rarely or never affects real scores in production.</w:t>
      </w:r>
    </w:p>
    <w:p>
      <w:pPr>
        <w:spacing w:after="160" w:line="276"/>
      </w:pPr>
      <w:r>
        <w:rPr>
          <w:b w:val="false"/>
          <w:bCs w:val="false"/>
        </w:rPr>
        <w:t xml:space="preserve">A ★ marker on a row means the constant is scale-defining: it doesn't just move a label boundary, it shapes the entire 0-100 output of a score formula. Getting a scale-defining constant wrong distorts every score and every label downstream of it, not just the cases near one cut point. These are the highest-priority candidates for revalidation once the 30-day/10-person dataset is available.</w:t>
      </w:r>
    </w:p>
    <w:p>
      <w:pPr>
        <w:spacing w:after="200"/>
      </w:pPr>
    </w:p>
    <w:p>
      <w:pPr>
        <w:pStyle w:val="Heading1"/>
        <w:spacing w:after="200" w:before="400"/>
      </w:pPr>
      <w:r>
        <w:rPr>
          <w:b/>
          <w:bCs/>
          <w:color w:val="1F3864"/>
        </w:rPr>
        <w:t xml:space="preserve">Shared primitive — SeverityBand</w:t>
      </w:r>
    </w:p>
    <w:p>
      <w:pPr>
        <w:spacing w:after="160" w:line="276"/>
      </w:pPr>
      <w:r>
        <w:t xml:space="preserve">Phase 4's severity labelling (mild / moderate / notable) uses the same three-cut-point pattern for every feature it narrates — only the numbers differ per feature. Rather than declaring five near-identical dataclasses, every Phase 4 severity constant is a single instance of this one generic type, passed directly into _severity(score, band.mild, band.moderate, band.notable).</w:t>
      </w:r>
    </w:p>
    <w:p>
      <w:pPr>
        <w:shd w:fill="F4F4F4" w:val="clear"/>
        <w:spacing w:after="0"/>
      </w:pPr>
      <w:r>
        <w:rPr>
          <w:rFonts w:ascii="Consolas" w:cs="Consolas" w:eastAsia="Consolas" w:hAnsi="Consolas"/>
          <w:sz w:val="19"/>
          <w:szCs w:val="19"/>
        </w:rPr>
        <w:t xml:space="preserve">@dataclass(frozen=True)</w:t>
      </w:r>
    </w:p>
    <w:p>
      <w:pPr>
        <w:shd w:fill="F4F4F4" w:val="clear"/>
        <w:spacing w:after="0"/>
      </w:pPr>
      <w:r>
        <w:rPr>
          <w:rFonts w:ascii="Consolas" w:cs="Consolas" w:eastAsia="Consolas" w:hAnsi="Consolas"/>
          <w:sz w:val="19"/>
          <w:szCs w:val="19"/>
        </w:rPr>
        <w:t xml:space="preserve">class SeverityBand:</w:t>
      </w:r>
    </w:p>
    <w:p>
      <w:pPr>
        <w:shd w:fill="F4F4F4" w:val="clear"/>
        <w:spacing w:after="0"/>
      </w:pPr>
      <w:r>
        <w:rPr>
          <w:rFonts w:ascii="Consolas" w:cs="Consolas" w:eastAsia="Consolas" w:hAnsi="Consolas"/>
          <w:sz w:val="19"/>
          <w:szCs w:val="19"/>
        </w:rPr>
        <w:t xml:space="preserve">    mild: float</w:t>
      </w:r>
    </w:p>
    <w:p>
      <w:pPr>
        <w:shd w:fill="F4F4F4" w:val="clear"/>
        <w:spacing w:after="0"/>
      </w:pPr>
      <w:r>
        <w:rPr>
          <w:rFonts w:ascii="Consolas" w:cs="Consolas" w:eastAsia="Consolas" w:hAnsi="Consolas"/>
          <w:sz w:val="19"/>
          <w:szCs w:val="19"/>
        </w:rPr>
        <w:t xml:space="preserve">    moderate: float</w:t>
      </w:r>
    </w:p>
    <w:p>
      <w:pPr>
        <w:shd w:fill="F4F4F4" w:val="clear"/>
        <w:spacing w:after="0"/>
      </w:pPr>
      <w:r>
        <w:rPr>
          <w:rFonts w:ascii="Consolas" w:cs="Consolas" w:eastAsia="Consolas" w:hAnsi="Consolas"/>
          <w:sz w:val="19"/>
          <w:szCs w:val="19"/>
        </w:rPr>
        <w:t xml:space="preserve">    notable: float</w:t>
      </w:r>
    </w:p>
    <w:p>
      <w:pPr>
        <w:spacing w:after="120"/>
      </w:pPr>
    </w:p>
    <w:p>
      <w:pPr>
        <w:spacing w:after="160" w:line="276"/>
      </w:pPr>
      <w:r>
        <w:t xml:space="preserve">This is a structural type, not a value in itself, so it carries no basis label — but every instance of it declared later in the file does, since each instance is three asserted (or occasionally derived) cut points.</w:t>
      </w:r>
    </w:p>
    <w:p>
      <w:pPr>
        <w:spacing w:after="200"/>
      </w:pPr>
    </w:p>
    <w:p>
      <w:pPr>
        <w:pStyle w:val="Heading1"/>
        <w:spacing w:after="200" w:before="400"/>
      </w:pPr>
      <w:r>
        <w:rPr>
          <w:b/>
          <w:bCs/>
          <w:color w:val="1F3864"/>
        </w:rPr>
        <w:t xml:space="preserve">Phase 1 — Face Detector</w:t>
      </w:r>
    </w:p>
    <w:p>
      <w:pPr>
        <w:pStyle w:val="Heading2"/>
        <w:spacing w:after="150" w:before="300"/>
      </w:pPr>
      <w:r>
        <w:rPr>
          <w:b/>
          <w:bCs/>
          <w:color w:val="2E5395"/>
        </w:rPr>
        <w:t xml:space="preserve">SYMMETRY (_Symmetry)</w:t>
      </w:r>
    </w:p>
    <w:p>
      <w:pPr>
        <w:spacing w:after="160" w:line="276"/>
      </w:pPr>
      <w:r>
        <w:t xml:space="preserve">_compute_symmetry produces a 0-100 symmetry score from mean landmark asymmetry, and these four cut points turn that score into a label (“Highly Symmetric” down to “Moderate Asymmetry”). divisor is a different kind of constant entirely — it is not a label boundary, it is the scale factor inside the score formula itself: (1 - mean_asym / divisor) * 100. It stays in the same dataclass as the label cut points because the two are always used together at this call-site, and splitting them into two dataclasses would add indirection for one small, tightly-coupled group.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highly_symmetric</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90.0</w:t>
            </w:r>
          </w:p>
        </w:tc>
        <w:tc>
          <w:tcPr>
            <w:tcW w:type="dxa" w:w="3850"/>
            <w:tcMar>
              <w:top w:type="dxa" w:w="80"/>
              <w:left w:type="dxa" w:w="100"/>
              <w:bottom w:type="dxa" w:w="80"/>
              <w:right w:type="dxa" w:w="100"/>
            </w:tcMar>
            <w:vAlign w:val="center"/>
          </w:tcPr>
          <w:p>
            <w:r>
              <w:rPr>
                <w:sz w:val="19"/>
                <w:szCs w:val="19"/>
              </w:rPr>
              <w:t xml:space="preserve">Score ≥ this → label “Highly Symmetric”</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normal</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75.0</w:t>
            </w:r>
          </w:p>
        </w:tc>
        <w:tc>
          <w:tcPr>
            <w:tcW w:type="dxa" w:w="3850"/>
            <w:shd w:fill="F2F5FA" w:val="clear"/>
            <w:tcMar>
              <w:top w:type="dxa" w:w="80"/>
              <w:left w:type="dxa" w:w="100"/>
              <w:bottom w:type="dxa" w:w="80"/>
              <w:right w:type="dxa" w:w="100"/>
            </w:tcMar>
            <w:vAlign w:val="center"/>
          </w:tcPr>
          <w:p>
            <w:r>
              <w:rPr>
                <w:sz w:val="19"/>
                <w:szCs w:val="19"/>
              </w:rPr>
              <w:t xml:space="preserve">Score ≥ this → label “Normal”</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mild_asymmetry</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55.0</w:t>
            </w:r>
          </w:p>
        </w:tc>
        <w:tc>
          <w:tcPr>
            <w:tcW w:type="dxa" w:w="3850"/>
            <w:tcMar>
              <w:top w:type="dxa" w:w="80"/>
              <w:left w:type="dxa" w:w="100"/>
              <w:bottom w:type="dxa" w:w="80"/>
              <w:right w:type="dxa" w:w="100"/>
            </w:tcMar>
            <w:vAlign w:val="center"/>
          </w:tcPr>
          <w:p>
            <w:r>
              <w:rPr>
                <w:sz w:val="19"/>
                <w:szCs w:val="19"/>
              </w:rPr>
              <w:t xml:space="preserve">Score ≥ this → label “Mild Asymmetry”</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moderate_asymmetry</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35.0</w:t>
            </w:r>
          </w:p>
        </w:tc>
        <w:tc>
          <w:tcPr>
            <w:tcW w:type="dxa" w:w="3850"/>
            <w:shd w:fill="F2F5FA" w:val="clear"/>
            <w:tcMar>
              <w:top w:type="dxa" w:w="80"/>
              <w:left w:type="dxa" w:w="100"/>
              <w:bottom w:type="dxa" w:w="80"/>
              <w:right w:type="dxa" w:w="100"/>
            </w:tcMar>
            <w:vAlign w:val="center"/>
          </w:tcPr>
          <w:p>
            <w:r>
              <w:rPr>
                <w:sz w:val="19"/>
                <w:szCs w:val="19"/>
              </w:rPr>
              <w:t xml:space="preserve">Score ≥ this → label “Moderate Asymmetry”</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divisor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0.30</w:t>
            </w:r>
          </w:p>
        </w:tc>
        <w:tc>
          <w:tcPr>
            <w:tcW w:type="dxa" w:w="3850"/>
            <w:tcMar>
              <w:top w:type="dxa" w:w="80"/>
              <w:left w:type="dxa" w:w="100"/>
              <w:bottom w:type="dxa" w:w="80"/>
              <w:right w:type="dxa" w:w="100"/>
            </w:tcMar>
            <w:vAlign w:val="center"/>
          </w:tcPr>
          <w:p>
            <w:r>
              <w:rPr>
                <w:sz w:val="19"/>
                <w:szCs w:val="19"/>
              </w:rPr>
              <w:t xml:space="preserve">(1 − mean_asym / divisor) × 100 — defines the entire symmetry score range, not just a cut point</w:t>
            </w:r>
          </w:p>
        </w:tc>
        <w:tc>
          <w:tcPr>
            <w:tcW w:type="dxa" w:w="1800"/>
            <w:tcMar>
              <w:top w:type="dxa" w:w="80"/>
              <w:left w:type="dxa" w:w="100"/>
              <w:bottom w:type="dxa" w:w="80"/>
              <w:right w:type="dxa" w:w="100"/>
            </w:tcMar>
            <w:vAlign w:val="center"/>
          </w:tcPr>
          <w:p>
            <w:r>
              <w:rPr>
                <w:b/>
                <w:bCs/>
                <w:color w:val="B7791F"/>
                <w:sz w:val="18"/>
                <w:szCs w:val="18"/>
              </w:rPr>
              <w:t xml:space="preserve">ASSERTED</w:t>
            </w:r>
          </w:p>
        </w:tc>
      </w:tr>
    </w:tbl>
    <w:p>
      <w:pPr>
        <w:spacing w:after="120"/>
      </w:pPr>
    </w:p>
    <w:p>
      <w:pPr>
        <w:spacing w:after="160" w:line="276"/>
      </w:pPr>
      <w:r>
        <w:t xml:space="preserve">divisor = 0.30 asserts that a mean landmark-asymmetry value of 0.30 represents total asymmetry (score 0), and that the relationship between asymmetry and score is linear. Neither claim is derived from anything recorded in the file. Because every one of the four labels above is graded against the curve this single constant shapes, it is the highest-priority item in this group to check against real mean_asym values pulled from the validation dataset — if real faces rarely exceed, say, 0.15, the current divisor would compress most real variation into the top half of the score range and the four labels would rarely differentiate.</w:t>
      </w:r>
    </w:p>
    <w:p>
      <w:pPr>
        <w:spacing w:after="200"/>
      </w:pPr>
    </w:p>
    <w:p>
      <w:pPr>
        <w:pStyle w:val="Heading1"/>
        <w:spacing w:after="200" w:before="400"/>
      </w:pPr>
      <w:r>
        <w:rPr>
          <w:b/>
          <w:bCs/>
          <w:color w:val="1F3864"/>
        </w:rPr>
        <w:t xml:space="preserve">Phase 3 — Feature Analyzer</w:t>
      </w:r>
    </w:p>
    <w:p>
      <w:pPr>
        <w:spacing w:after="160" w:line="276"/>
      </w:pPr>
      <w:r>
        <w:t xml:space="preserve">This is the largest group in the file — every score produced by the region-level skin, eye, and lip analysis passes through a constant declared here. It is organized below by sub-region: eyes, general skin, lips, mouth geometry, tone gating, and per-person calibration.</w:t>
      </w:r>
    </w:p>
    <w:p>
      <w:pPr>
        <w:spacing w:after="120"/>
      </w:pPr>
    </w:p>
    <w:p>
      <w:pPr>
        <w:pStyle w:val="Heading2"/>
        <w:spacing w:after="150" w:before="300"/>
      </w:pPr>
      <w:r>
        <w:rPr>
          <w:b/>
          <w:bCs/>
          <w:color w:val="2E5395"/>
        </w:rPr>
        <w:t xml:space="preserve">Eye region — SWELLING, EAR, EYE_REDNESS, DARK_CIRCLE, PUFFINESS</w:t>
      </w:r>
    </w:p>
    <w:p>
      <w:pPr>
        <w:spacing w:after="160" w:line="276"/>
      </w:pPr>
      <w:r>
        <w:t xml:space="preserve">SWELLING (_Swelling) scores cheek-width / eye-span ratio.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typical_low</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1.30</w:t>
            </w:r>
          </w:p>
        </w:tc>
        <w:tc>
          <w:tcPr>
            <w:tcW w:type="dxa" w:w="3850"/>
            <w:tcMar>
              <w:top w:type="dxa" w:w="80"/>
              <w:left w:type="dxa" w:w="100"/>
              <w:bottom w:type="dxa" w:w="80"/>
              <w:right w:type="dxa" w:w="100"/>
            </w:tcMar>
            <w:vAlign w:val="center"/>
          </w:tcPr>
          <w:p>
            <w:r>
              <w:rPr>
                <w:sz w:val="19"/>
                <w:szCs w:val="19"/>
              </w:rPr>
              <w:t xml:space="preserve">Kept for a future “too-narrow” check; not read by current scoring</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typical_high ★</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1.60</w:t>
            </w:r>
          </w:p>
        </w:tc>
        <w:tc>
          <w:tcPr>
            <w:tcW w:type="dxa" w:w="3850"/>
            <w:shd w:fill="F2F5FA" w:val="clear"/>
            <w:tcMar>
              <w:top w:type="dxa" w:w="80"/>
              <w:left w:type="dxa" w:w="100"/>
              <w:bottom w:type="dxa" w:w="80"/>
              <w:right w:type="dxa" w:w="100"/>
            </w:tcMar>
            <w:vAlign w:val="center"/>
          </w:tcPr>
          <w:p>
            <w:r>
              <w:rPr>
                <w:sz w:val="19"/>
                <w:szCs w:val="19"/>
              </w:rPr>
              <w:t xml:space="preserve">Anchor point: ratios at/below this score 0</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divisor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0.30</w:t>
            </w:r>
          </w:p>
        </w:tc>
        <w:tc>
          <w:tcPr>
            <w:tcW w:type="dxa" w:w="3850"/>
            <w:tcMar>
              <w:top w:type="dxa" w:w="80"/>
              <w:left w:type="dxa" w:w="100"/>
              <w:bottom w:type="dxa" w:w="80"/>
              <w:right w:type="dxa" w:w="100"/>
            </w:tcMar>
            <w:vAlign w:val="center"/>
          </w:tcPr>
          <w:p>
            <w:r>
              <w:rPr>
                <w:sz w:val="19"/>
                <w:szCs w:val="19"/>
              </w:rPr>
              <w:t xml:space="preserve">(ratio − typical_high) / divisor × 100</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none</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20.0</w:t>
            </w:r>
          </w:p>
        </w:tc>
        <w:tc>
          <w:tcPr>
            <w:tcW w:type="dxa" w:w="3850"/>
            <w:shd w:fill="F2F5FA" w:val="clear"/>
            <w:tcMar>
              <w:top w:type="dxa" w:w="80"/>
              <w:left w:type="dxa" w:w="100"/>
              <w:bottom w:type="dxa" w:w="80"/>
              <w:right w:type="dxa" w:w="100"/>
            </w:tcMar>
            <w:vAlign w:val="center"/>
          </w:tcPr>
          <w:p>
            <w:r>
              <w:rPr>
                <w:sz w:val="19"/>
                <w:szCs w:val="19"/>
              </w:rPr>
              <w:t xml:space="preserve">Score &lt; this → “No Swelling Indicators”</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mild</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45.0</w:t>
            </w:r>
          </w:p>
        </w:tc>
        <w:tc>
          <w:tcPr>
            <w:tcW w:type="dxa" w:w="3850"/>
            <w:tcMar>
              <w:top w:type="dxa" w:w="80"/>
              <w:left w:type="dxa" w:w="100"/>
              <w:bottom w:type="dxa" w:w="80"/>
              <w:right w:type="dxa" w:w="100"/>
            </w:tcMar>
            <w:vAlign w:val="center"/>
          </w:tcPr>
          <w:p>
            <w:r>
              <w:rPr>
                <w:sz w:val="19"/>
                <w:szCs w:val="19"/>
              </w:rPr>
              <w:t xml:space="preserve">Score &lt; this → “Mild Swelling Indicator”</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moderate</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70.0</w:t>
            </w:r>
          </w:p>
        </w:tc>
        <w:tc>
          <w:tcPr>
            <w:tcW w:type="dxa" w:w="3850"/>
            <w:shd w:fill="F2F5FA" w:val="clear"/>
            <w:tcMar>
              <w:top w:type="dxa" w:w="80"/>
              <w:left w:type="dxa" w:w="100"/>
              <w:bottom w:type="dxa" w:w="80"/>
              <w:right w:type="dxa" w:w="100"/>
            </w:tcMar>
            <w:vAlign w:val="center"/>
          </w:tcPr>
          <w:p>
            <w:r>
              <w:rPr>
                <w:sz w:val="19"/>
                <w:szCs w:val="19"/>
              </w:rPr>
              <w:t xml:space="preserve">Score &lt; this → “Moderate Swelling Indicator”</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The cheek-width/eye-span ratio does not appear to be a standard measurement in outside literature — it reads as custom-built for this pipeline. typical_high doubles as both the score-formula anchor and a label concept (“typical”), so an error here shifts the entire swelling scale, not one boundary.</w:t>
      </w:r>
    </w:p>
    <w:p>
      <w:pPr>
        <w:spacing w:after="160" w:line="276"/>
      </w:pPr>
      <w:r>
        <w:t xml:space="preserve">EAR (_EAR) — Eye Aspect Ratio calibration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closed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0.15</w:t>
            </w:r>
          </w:p>
        </w:tc>
        <w:tc>
          <w:tcPr>
            <w:tcW w:type="dxa" w:w="3850"/>
            <w:tcMar>
              <w:top w:type="dxa" w:w="80"/>
              <w:left w:type="dxa" w:w="100"/>
              <w:bottom w:type="dxa" w:w="80"/>
              <w:right w:type="dxa" w:w="100"/>
            </w:tcMar>
            <w:vAlign w:val="center"/>
          </w:tcPr>
          <w:p>
            <w:r>
              <w:rPr>
                <w:sz w:val="19"/>
                <w:szCs w:val="19"/>
              </w:rPr>
              <w:t xml:space="preserve">(ear − closed) / (open − closed) × 100 — lower anchor</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open ★</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0.40</w:t>
            </w:r>
          </w:p>
        </w:tc>
        <w:tc>
          <w:tcPr>
            <w:tcW w:type="dxa" w:w="3850"/>
            <w:shd w:fill="F2F5FA" w:val="clear"/>
            <w:tcMar>
              <w:top w:type="dxa" w:w="80"/>
              <w:left w:type="dxa" w:w="100"/>
              <w:bottom w:type="dxa" w:w="80"/>
              <w:right w:type="dxa" w:w="100"/>
            </w:tcMar>
            <w:vAlign w:val="center"/>
          </w:tcPr>
          <w:p>
            <w:r>
              <w:rPr>
                <w:sz w:val="19"/>
                <w:szCs w:val="19"/>
              </w:rPr>
              <w:t xml:space="preserve">Same formula — upper anchor</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EAR is a published metric (Soukupá &amp; Čech), giving this pair the only outside literature reference point in the eye-region group — but that literature is built on dlib's 68-point landmark set, not MediaPipe's 478-point mesh, and published “open” EAR values typically sit closer to ~0.25–0.30, not 0.40. The published numbers should not be copied in directly; the right move is measuring raw EAR on known-open and known-closed frames through this pipeline's own landmark indices and setting these two points from that.</w:t>
      </w:r>
    </w:p>
    <w:p>
      <w:pPr>
        <w:spacing w:after="160" w:line="276"/>
      </w:pPr>
      <w:r>
        <w:t xml:space="preserve">EYE_REDNESS (_EyeRedness)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divisor</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0.10</w:t>
            </w:r>
          </w:p>
        </w:tc>
        <w:tc>
          <w:tcPr>
            <w:tcW w:type="dxa" w:w="3850"/>
            <w:tcMar>
              <w:top w:type="dxa" w:w="80"/>
              <w:left w:type="dxa" w:w="100"/>
              <w:bottom w:type="dxa" w:w="80"/>
              <w:right w:type="dxa" w:w="100"/>
            </w:tcMar>
            <w:vAlign w:val="center"/>
          </w:tcPr>
          <w:p>
            <w:r>
              <w:rPr>
                <w:sz w:val="19"/>
                <w:szCs w:val="19"/>
              </w:rPr>
              <w:t xml:space="preserve">(rel_r − baseline_rel_r) / divisor × 100</w:t>
            </w:r>
          </w:p>
        </w:tc>
        <w:tc>
          <w:tcPr>
            <w:tcW w:type="dxa" w:w="1800"/>
            <w:tcMar>
              <w:top w:type="dxa" w:w="80"/>
              <w:left w:type="dxa" w:w="100"/>
              <w:bottom w:type="dxa" w:w="80"/>
              <w:right w:type="dxa" w:w="100"/>
            </w:tcMar>
            <w:vAlign w:val="center"/>
          </w:tcPr>
          <w:p>
            <w:r>
              <w:rPr>
                <w:b/>
                <w:bCs/>
                <w:color w:val="555555"/>
                <w:sz w:val="18"/>
                <w:szCs w:val="18"/>
              </w:rPr>
              <w:t xml:space="preserve">MATCHED / INHERITED</w:t>
            </w:r>
          </w:p>
        </w:tc>
      </w:tr>
    </w:tbl>
    <w:p>
      <w:pPr>
        <w:spacing w:after="200"/>
      </w:pPr>
      <w:r>
        <w:rPr>
          <w:i/>
          <w:iCs/>
          <w:color w:val="555555"/>
          <w:sz w:val="20"/>
          <w:szCs w:val="20"/>
        </w:rPr>
        <w:t xml:space="preserve">Deliberately matched to SKIN_REDNESS.divisor so both scores share one scale — not an independent guess. The baseline itself comes from the person's own forehead CalibrationBaseline, not a fixed constant.</w:t>
      </w:r>
    </w:p>
    <w:p>
      <w:pPr>
        <w:spacing w:after="160" w:line="276"/>
      </w:pPr>
      <w:r>
        <w:t xml:space="preserve">DARK_CIRCLE (_DarkCircle)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bright_luminance</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200.0</w:t>
            </w:r>
          </w:p>
        </w:tc>
        <w:tc>
          <w:tcPr>
            <w:tcW w:type="dxa" w:w="3850"/>
            <w:tcMar>
              <w:top w:type="dxa" w:w="80"/>
              <w:left w:type="dxa" w:w="100"/>
              <w:bottom w:type="dxa" w:w="80"/>
              <w:right w:type="dxa" w:w="100"/>
            </w:tcMar>
            <w:vAlign w:val="center"/>
          </w:tcPr>
          <w:p>
            <w:r>
              <w:rPr>
                <w:sz w:val="19"/>
                <w:szCs w:val="19"/>
              </w:rPr>
              <w:t xml:space="preserve">Fallback “not dark” reference for calls without a CalibrationBaseline (e.g. direct unit tests)</w:t>
            </w:r>
          </w:p>
        </w:tc>
        <w:tc>
          <w:tcPr>
            <w:tcW w:type="dxa" w:w="1800"/>
            <w:tcMar>
              <w:top w:type="dxa" w:w="80"/>
              <w:left w:type="dxa" w:w="100"/>
              <w:bottom w:type="dxa" w:w="80"/>
              <w:right w:type="dxa" w:w="100"/>
            </w:tcMar>
            <w:vAlign w:val="center"/>
          </w:tcPr>
          <w:p>
            <w:r>
              <w:rPr>
                <w:b/>
                <w:bCs/>
                <w:color w:val="888888"/>
                <w:sz w:val="18"/>
                <w:szCs w:val="18"/>
              </w:rPr>
              <w:t xml:space="preserve">FALLBACK-ONLY</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divisor ★</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120.0</w:t>
            </w:r>
          </w:p>
        </w:tc>
        <w:tc>
          <w:tcPr>
            <w:tcW w:type="dxa" w:w="3850"/>
            <w:shd w:fill="F2F5FA" w:val="clear"/>
            <w:tcMar>
              <w:top w:type="dxa" w:w="80"/>
              <w:left w:type="dxa" w:w="100"/>
              <w:bottom w:type="dxa" w:w="80"/>
              <w:right w:type="dxa" w:w="100"/>
            </w:tcMar>
            <w:vAlign w:val="center"/>
          </w:tcPr>
          <w:p>
            <w:r>
              <w:rPr>
                <w:sz w:val="19"/>
                <w:szCs w:val="19"/>
              </w:rPr>
              <w:t xml:space="preserve">(reference_luminance − mean_lum) / divisor × 100</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160" w:line="276"/>
      </w:pPr>
      <w:r>
        <w:t xml:space="preserve">PUFFINESS (_Puffiness)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low_variance</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50.0</w:t>
            </w:r>
          </w:p>
        </w:tc>
        <w:tc>
          <w:tcPr>
            <w:tcW w:type="dxa" w:w="3850"/>
            <w:tcMar>
              <w:top w:type="dxa" w:w="80"/>
              <w:left w:type="dxa" w:w="100"/>
              <w:bottom w:type="dxa" w:w="80"/>
              <w:right w:type="dxa" w:w="100"/>
            </w:tcMar>
            <w:vAlign w:val="center"/>
          </w:tcPr>
          <w:p>
            <w:r>
              <w:rPr>
                <w:sz w:val="19"/>
                <w:szCs w:val="19"/>
              </w:rPr>
              <w:t xml:space="preserve">Variance ≤ this reads as flat/puffy</w:t>
            </w:r>
          </w:p>
        </w:tc>
        <w:tc>
          <w:tcPr>
            <w:tcW w:type="dxa" w:w="1800"/>
            <w:tcMar>
              <w:top w:type="dxa" w:w="80"/>
              <w:left w:type="dxa" w:w="100"/>
              <w:bottom w:type="dxa" w:w="80"/>
              <w:right w:type="dxa" w:w="100"/>
            </w:tcMar>
            <w:vAlign w:val="center"/>
          </w:tcPr>
          <w:p>
            <w:r>
              <w:rPr>
                <w:b/>
                <w:bCs/>
                <w:color w:val="B7791F"/>
                <w:sz w:val="18"/>
                <w:szCs w:val="18"/>
              </w:rPr>
              <w:t xml:space="preserve">ASSERTED</w:t>
            </w:r>
          </w:p>
        </w:tc>
      </w:tr>
    </w:tbl>
    <w:p>
      <w:pPr>
        <w:spacing w:after="200"/>
      </w:pPr>
    </w:p>
    <w:p>
      <w:pPr>
        <w:pStyle w:val="Heading2"/>
        <w:spacing w:after="150" w:before="300"/>
      </w:pPr>
      <w:r>
        <w:rPr>
          <w:b/>
          <w:bCs/>
          <w:color w:val="2E5395"/>
        </w:rPr>
        <w:t xml:space="preserve">General skin — SKIN_REDNESS, TEXTURE, ACNE, REGION_LIGHTING</w:t>
      </w:r>
    </w:p>
    <w:p>
      <w:pPr>
        <w:spacing w:after="160" w:line="276"/>
      </w:pPr>
      <w:r>
        <w:t xml:space="preserve">SKIN_REDNESS (_SkinRedness)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baseline_rel_r</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0.33</w:t>
            </w:r>
          </w:p>
        </w:tc>
        <w:tc>
          <w:tcPr>
            <w:tcW w:type="dxa" w:w="3850"/>
            <w:tcMar>
              <w:top w:type="dxa" w:w="80"/>
              <w:left w:type="dxa" w:w="100"/>
              <w:bottom w:type="dxa" w:w="80"/>
              <w:right w:type="dxa" w:w="100"/>
            </w:tcMar>
            <w:vAlign w:val="center"/>
          </w:tcPr>
          <w:p>
            <w:r>
              <w:rPr>
                <w:sz w:val="19"/>
                <w:szCs w:val="19"/>
              </w:rPr>
              <w:t xml:space="preserve">Fallback relative-red baseline for calls without a CalibrationBaseline</w:t>
            </w:r>
          </w:p>
        </w:tc>
        <w:tc>
          <w:tcPr>
            <w:tcW w:type="dxa" w:w="1800"/>
            <w:tcMar>
              <w:top w:type="dxa" w:w="80"/>
              <w:left w:type="dxa" w:w="100"/>
              <w:bottom w:type="dxa" w:w="80"/>
              <w:right w:type="dxa" w:w="100"/>
            </w:tcMar>
            <w:vAlign w:val="center"/>
          </w:tcPr>
          <w:p>
            <w:r>
              <w:rPr>
                <w:b/>
                <w:bCs/>
                <w:color w:val="888888"/>
                <w:sz w:val="18"/>
                <w:szCs w:val="18"/>
              </w:rPr>
              <w:t xml:space="preserve">FALLBACK-ONLY</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divisor</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0.10</w:t>
            </w:r>
          </w:p>
        </w:tc>
        <w:tc>
          <w:tcPr>
            <w:tcW w:type="dxa" w:w="3850"/>
            <w:shd w:fill="F2F5FA" w:val="clear"/>
            <w:tcMar>
              <w:top w:type="dxa" w:w="80"/>
              <w:left w:type="dxa" w:w="100"/>
              <w:bottom w:type="dxa" w:w="80"/>
              <w:right w:type="dxa" w:w="100"/>
            </w:tcMar>
            <w:vAlign w:val="center"/>
          </w:tcPr>
          <w:p>
            <w:r>
              <w:rPr>
                <w:sz w:val="19"/>
                <w:szCs w:val="19"/>
              </w:rPr>
              <w:t xml:space="preserve">(rel_r − baseline) / divisor × 100</w:t>
            </w:r>
          </w:p>
        </w:tc>
        <w:tc>
          <w:tcPr>
            <w:tcW w:type="dxa" w:w="1800"/>
            <w:shd w:fill="F2F5FA" w:val="clear"/>
            <w:tcMar>
              <w:top w:type="dxa" w:w="80"/>
              <w:left w:type="dxa" w:w="100"/>
              <w:bottom w:type="dxa" w:w="80"/>
              <w:right w:type="dxa" w:w="100"/>
            </w:tcMar>
            <w:vAlign w:val="center"/>
          </w:tcPr>
          <w:p>
            <w:r>
              <w:rPr>
                <w:b/>
                <w:bCs/>
                <w:color w:val="555555"/>
                <w:sz w:val="18"/>
                <w:szCs w:val="18"/>
              </w:rPr>
              <w:t xml:space="preserve">MATCHED / INHERITED</w:t>
            </w:r>
          </w:p>
        </w:tc>
      </w:tr>
    </w:tbl>
    <w:p>
      <w:pPr>
        <w:spacing w:after="160" w:line="276"/>
      </w:pPr>
      <w:r>
        <w:t xml:space="preserve">TEXTURE (_Texture)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divisor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20.0</w:t>
            </w:r>
          </w:p>
        </w:tc>
        <w:tc>
          <w:tcPr>
            <w:tcW w:type="dxa" w:w="3850"/>
            <w:tcMar>
              <w:top w:type="dxa" w:w="80"/>
              <w:left w:type="dxa" w:w="100"/>
              <w:bottom w:type="dxa" w:w="80"/>
              <w:right w:type="dxa" w:w="100"/>
            </w:tcMar>
            <w:vAlign w:val="center"/>
          </w:tcPr>
          <w:p>
            <w:r>
              <w:rPr>
                <w:sz w:val="19"/>
                <w:szCs w:val="19"/>
              </w:rPr>
              <w:t xml:space="preserve">Laplacian variance / divisor → 0-100</w:t>
            </w:r>
          </w:p>
        </w:tc>
        <w:tc>
          <w:tcPr>
            <w:tcW w:type="dxa" w:w="1800"/>
            <w:tcMar>
              <w:top w:type="dxa" w:w="80"/>
              <w:left w:type="dxa" w:w="100"/>
              <w:bottom w:type="dxa" w:w="80"/>
              <w:right w:type="dxa" w:w="100"/>
            </w:tcMar>
            <w:vAlign w:val="center"/>
          </w:tcPr>
          <w:p>
            <w:r>
              <w:rPr>
                <w:b/>
                <w:bCs/>
                <w:color w:val="B7791F"/>
                <w:sz w:val="18"/>
                <w:szCs w:val="18"/>
              </w:rPr>
              <w:t xml:space="preserve">ASSERTED</w:t>
            </w:r>
          </w:p>
        </w:tc>
      </w:tr>
    </w:tbl>
    <w:p>
      <w:pPr>
        <w:spacing w:after="160" w:line="276"/>
      </w:pPr>
      <w:r>
        <w:t xml:space="preserve">ACNE (_Acne)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min_contour_area</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8.0 px²</w:t>
            </w:r>
          </w:p>
        </w:tc>
        <w:tc>
          <w:tcPr>
            <w:tcW w:type="dxa" w:w="3850"/>
            <w:tcMar>
              <w:top w:type="dxa" w:w="80"/>
              <w:left w:type="dxa" w:w="100"/>
              <w:bottom w:type="dxa" w:w="80"/>
              <w:right w:type="dxa" w:w="100"/>
            </w:tcMar>
            <w:vAlign w:val="center"/>
          </w:tcPr>
          <w:p>
            <w:r>
              <w:rPr>
                <w:sz w:val="19"/>
                <w:szCs w:val="19"/>
              </w:rPr>
              <w:t xml:space="preserve">Contours below this area are treated as noise, not spots</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max_contour_area</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800.0 px²</w:t>
            </w:r>
          </w:p>
        </w:tc>
        <w:tc>
          <w:tcPr>
            <w:tcW w:type="dxa" w:w="3850"/>
            <w:shd w:fill="F2F5FA" w:val="clear"/>
            <w:tcMar>
              <w:top w:type="dxa" w:w="80"/>
              <w:left w:type="dxa" w:w="100"/>
              <w:bottom w:type="dxa" w:w="80"/>
              <w:right w:type="dxa" w:w="100"/>
            </w:tcMar>
            <w:vAlign w:val="center"/>
          </w:tcPr>
          <w:p>
            <w:r>
              <w:rPr>
                <w:sz w:val="19"/>
                <w:szCs w:val="19"/>
              </w:rPr>
              <w:t xml:space="preserve">Contours above this area are treated as a large region, not a spot</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spot_count_for_max_score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10.0</w:t>
            </w:r>
          </w:p>
        </w:tc>
        <w:tc>
          <w:tcPr>
            <w:tcW w:type="dxa" w:w="3850"/>
            <w:tcMar>
              <w:top w:type="dxa" w:w="80"/>
              <w:left w:type="dxa" w:w="100"/>
              <w:bottom w:type="dxa" w:w="80"/>
              <w:right w:type="dxa" w:w="100"/>
            </w:tcMar>
            <w:vAlign w:val="center"/>
          </w:tcPr>
          <w:p>
            <w:r>
              <w:rPr>
                <w:sz w:val="19"/>
                <w:szCs w:val="19"/>
              </w:rPr>
              <w:t xml:space="preserve">count / this × 100 → score</w:t>
            </w:r>
          </w:p>
        </w:tc>
        <w:tc>
          <w:tcPr>
            <w:tcW w:type="dxa" w:w="1800"/>
            <w:tcMar>
              <w:top w:type="dxa" w:w="80"/>
              <w:left w:type="dxa" w:w="100"/>
              <w:bottom w:type="dxa" w:w="80"/>
              <w:right w:type="dxa" w:w="100"/>
            </w:tcMar>
            <w:vAlign w:val="center"/>
          </w:tcPr>
          <w:p>
            <w:r>
              <w:rPr>
                <w:b/>
                <w:bCs/>
                <w:color w:val="B7791F"/>
                <w:sz w:val="18"/>
                <w:szCs w:val="18"/>
              </w:rPr>
              <w:t xml:space="preserve">ASSERTED</w:t>
            </w:r>
          </w:p>
        </w:tc>
      </w:tr>
    </w:tbl>
    <w:p>
      <w:pPr>
        <w:spacing w:after="160" w:line="276"/>
      </w:pPr>
      <w:r>
        <w:t xml:space="preserve">REGION_LIGHTING (_RegionLighting)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min_mean_luminance</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60.0</w:t>
            </w:r>
          </w:p>
        </w:tc>
        <w:tc>
          <w:tcPr>
            <w:tcW w:type="dxa" w:w="3850"/>
            <w:tcMar>
              <w:top w:type="dxa" w:w="80"/>
              <w:left w:type="dxa" w:w="100"/>
              <w:bottom w:type="dxa" w:w="80"/>
              <w:right w:type="dxa" w:w="100"/>
            </w:tcMar>
            <w:vAlign w:val="center"/>
          </w:tcPr>
          <w:p>
            <w:r>
              <w:rPr>
                <w:sz w:val="19"/>
                <w:szCs w:val="19"/>
              </w:rPr>
              <w:t xml:space="preserve">Gates texture_irregularity, acne_score, and lip dryness_score when a region is underlit</w:t>
            </w:r>
          </w:p>
        </w:tc>
        <w:tc>
          <w:tcPr>
            <w:tcW w:type="dxa" w:w="1800"/>
            <w:tcMar>
              <w:top w:type="dxa" w:w="80"/>
              <w:left w:type="dxa" w:w="100"/>
              <w:bottom w:type="dxa" w:w="80"/>
              <w:right w:type="dxa" w:w="100"/>
            </w:tcMar>
            <w:vAlign w:val="center"/>
          </w:tcPr>
          <w:p>
            <w:r>
              <w:rPr>
                <w:b/>
                <w:bCs/>
                <w:color w:val="555555"/>
                <w:sz w:val="18"/>
                <w:szCs w:val="18"/>
              </w:rPr>
              <w:t xml:space="preserve">MATCHED / INHERITED</w:t>
            </w:r>
          </w:p>
        </w:tc>
      </w:tr>
    </w:tbl>
    <w:p>
      <w:pPr>
        <w:spacing w:after="200"/>
      </w:pPr>
      <w:r>
        <w:rPr>
          <w:i/>
          <w:iCs/>
          <w:color w:val="555555"/>
          <w:sz w:val="20"/>
          <w:szCs w:val="20"/>
        </w:rPr>
        <w:t xml:space="preserve">Set equal to AlignmentCheck's whole-face MIN_BRIGHTNESS on purpose, so the pipeline has one “too dark” number rather than two independently-tuned ones. If this value needs revisiting, the more useful place to look is wherever MIN_BRIGHTNESS was originally set, since this constant is only inheriting that decision. redness_score, color_consistency, and pallor_score are mean-color based rather than Laplacian/contour based and degrade far less in low light, which is why they are deliberately not gated by this constant.</w:t>
      </w:r>
    </w:p>
    <w:p>
      <w:pPr>
        <w:spacing w:after="200"/>
      </w:pPr>
    </w:p>
    <w:p>
      <w:pPr>
        <w:pStyle w:val="Heading2"/>
        <w:spacing w:after="150" w:before="300"/>
      </w:pPr>
      <w:r>
        <w:rPr>
          <w:b/>
          <w:bCs/>
          <w:color w:val="2E5395"/>
        </w:rPr>
        <w:t xml:space="preserve">Lips — LIP_DRYNESS, LIP_COLOR_CONSISTENCY, LIP_PALLOR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LIP_DRYNESS.divisor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15.0</w:t>
            </w:r>
          </w:p>
        </w:tc>
        <w:tc>
          <w:tcPr>
            <w:tcW w:type="dxa" w:w="3850"/>
            <w:tcMar>
              <w:top w:type="dxa" w:w="80"/>
              <w:left w:type="dxa" w:w="100"/>
              <w:bottom w:type="dxa" w:w="80"/>
              <w:right w:type="dxa" w:w="100"/>
            </w:tcMar>
            <w:vAlign w:val="center"/>
          </w:tcPr>
          <w:p>
            <w:r>
              <w:rPr>
                <w:sz w:val="19"/>
                <w:szCs w:val="19"/>
              </w:rPr>
              <w:t xml:space="preserve">Laplacian variance / divisor → 0-100</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LIP_COLOR_CONSISTENCY.divisor ★</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80.0</w:t>
            </w:r>
          </w:p>
        </w:tc>
        <w:tc>
          <w:tcPr>
            <w:tcW w:type="dxa" w:w="3850"/>
            <w:shd w:fill="F2F5FA" w:val="clear"/>
            <w:tcMar>
              <w:top w:type="dxa" w:w="80"/>
              <w:left w:type="dxa" w:w="100"/>
              <w:bottom w:type="dxa" w:w="80"/>
              <w:right w:type="dxa" w:w="100"/>
            </w:tcMar>
            <w:vAlign w:val="center"/>
          </w:tcPr>
          <w:p>
            <w:r>
              <w:rPr>
                <w:sz w:val="19"/>
                <w:szCs w:val="19"/>
              </w:rPr>
              <w:t xml:space="preserve">std_per_channel / divisor × 100</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LIP_PALLOR.divisor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100.0</w:t>
            </w:r>
          </w:p>
        </w:tc>
        <w:tc>
          <w:tcPr>
            <w:tcW w:type="dxa" w:w="3850"/>
            <w:tcMar>
              <w:top w:type="dxa" w:w="80"/>
              <w:left w:type="dxa" w:w="100"/>
              <w:bottom w:type="dxa" w:w="80"/>
              <w:right w:type="dxa" w:w="100"/>
            </w:tcMar>
            <w:vAlign w:val="center"/>
          </w:tcPr>
          <w:p>
            <w:r>
              <w:rPr>
                <w:sz w:val="19"/>
                <w:szCs w:val="19"/>
              </w:rPr>
              <w:t xml:space="preserve">(divisor − mean_sat) / divisor × 100</w:t>
            </w:r>
          </w:p>
        </w:tc>
        <w:tc>
          <w:tcPr>
            <w:tcW w:type="dxa" w:w="1800"/>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LIP_PALLOR.divisor is doing two jobs at once — it is both the scale factor and, because it sits at exactly 100, an implicit claim that mean_sat is itself on a 0-100 scale where 100 is maximum saturation. Worth double-checking that assumption holds for whatever saturation representation is actually being read (e.g. HSV S channel range) before trusting this one.</w:t>
      </w:r>
    </w:p>
    <w:p>
      <w:pPr>
        <w:spacing w:after="200"/>
      </w:pPr>
    </w:p>
    <w:p>
      <w:pPr>
        <w:pStyle w:val="Heading2"/>
        <w:spacing w:after="150" w:before="300"/>
      </w:pPr>
      <w:r>
        <w:rPr>
          <w:b/>
          <w:bCs/>
          <w:color w:val="2E5395"/>
        </w:rPr>
        <w:t xml:space="preserve">Mouth geometry — MOUTH_SHAPE (_Smile)</w:t>
      </w:r>
    </w:p>
    <w:p>
      <w:pPr>
        <w:spacing w:after="160" w:line="276"/>
      </w:pPr>
      <w:r>
        <w:t xml:space="preserve">Computed directly from landmarks (MOUTH_LEFT, MOUTH_RIGHT, UPPER_LIP_CENTER, LOWER_LIP_CENTER) rather than pixels — the same category as the Phase 1 symmetry/swelling heuristics, not a pixel-based SkinFeatures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mar_typical_low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2.0</w:t>
            </w:r>
          </w:p>
        </w:tc>
        <w:tc>
          <w:tcPr>
            <w:tcW w:type="dxa" w:w="3850"/>
            <w:tcMar>
              <w:top w:type="dxa" w:w="80"/>
              <w:left w:type="dxa" w:w="100"/>
              <w:bottom w:type="dxa" w:w="80"/>
              <w:right w:type="dxa" w:w="100"/>
            </w:tcMar>
            <w:vAlign w:val="center"/>
          </w:tcPr>
          <w:p>
            <w:r>
              <w:rPr>
                <w:sz w:val="19"/>
                <w:szCs w:val="19"/>
              </w:rPr>
              <w:t xml:space="preserve">Mouth aspect ratio (width/height) at/below this → score 0 (very open)</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mar_typical_high ★</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6.0</w:t>
            </w:r>
          </w:p>
        </w:tc>
        <w:tc>
          <w:tcPr>
            <w:tcW w:type="dxa" w:w="3850"/>
            <w:shd w:fill="F2F5FA" w:val="clear"/>
            <w:tcMar>
              <w:top w:type="dxa" w:w="80"/>
              <w:left w:type="dxa" w:w="100"/>
              <w:bottom w:type="dxa" w:w="80"/>
              <w:right w:type="dxa" w:w="100"/>
            </w:tcMar>
            <w:vAlign w:val="center"/>
          </w:tcPr>
          <w:p>
            <w:r>
              <w:rPr>
                <w:sz w:val="19"/>
                <w:szCs w:val="19"/>
              </w:rPr>
              <w:t xml:space="preserve">At/above this → score 100 (closed/relaxed)</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asymmetry_divisor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0.15</w:t>
            </w:r>
          </w:p>
        </w:tc>
        <w:tc>
          <w:tcPr>
            <w:tcW w:type="dxa" w:w="3850"/>
            <w:tcMar>
              <w:top w:type="dxa" w:w="80"/>
              <w:left w:type="dxa" w:w="100"/>
              <w:bottom w:type="dxa" w:w="80"/>
              <w:right w:type="dxa" w:w="100"/>
            </w:tcMar>
            <w:vAlign w:val="center"/>
          </w:tcPr>
          <w:p>
            <w:r>
              <w:rPr>
                <w:sz w:val="19"/>
                <w:szCs w:val="19"/>
              </w:rPr>
              <w:t xml:space="preserve">(vertical_diff / mouth_width) / divisor × 100</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curvature_divisor ★</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0.20</w:t>
            </w:r>
          </w:p>
        </w:tc>
        <w:tc>
          <w:tcPr>
            <w:tcW w:type="dxa" w:w="3850"/>
            <w:shd w:fill="F2F5FA" w:val="clear"/>
            <w:tcMar>
              <w:top w:type="dxa" w:w="80"/>
              <w:left w:type="dxa" w:w="100"/>
              <w:bottom w:type="dxa" w:w="80"/>
              <w:right w:type="dxa" w:w="100"/>
            </w:tcMar>
            <w:vAlign w:val="center"/>
          </w:tcPr>
          <w:p>
            <w:r>
              <w:rPr>
                <w:sz w:val="19"/>
                <w:szCs w:val="19"/>
              </w:rPr>
              <w:t xml:space="preserve">(corner_y − midline_y) / mouth_width / divisor × 100</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mar_typical_low/high define this pipeline's Mouth Aspect Ratio as width ÷ height. Published MAR literature (yawn/drowsiness detection) is almost always defined the other way — height ÷ width — so even if outside reference values were found, they would need inverting before they could be compared to these two constants. As declared, they are effectively unvalidated against anything external.</w:t>
      </w:r>
    </w:p>
    <w:p>
      <w:pPr>
        <w:spacing w:after="200"/>
      </w:pPr>
    </w:p>
    <w:p>
      <w:pPr>
        <w:pStyle w:val="Heading2"/>
        <w:spacing w:after="150" w:before="300"/>
      </w:pPr>
      <w:r>
        <w:rPr>
          <w:b/>
          <w:bCs/>
          <w:color w:val="2E5395"/>
        </w:rPr>
        <w:t xml:space="preserve">Tone gating — SKIN_TONE_GATE, LIP_TONE_GATE</w:t>
      </w:r>
    </w:p>
    <w:p>
      <w:pPr>
        <w:spacing w:after="160" w:line="276"/>
      </w:pPr>
      <w:r>
        <w:t xml:space="preserve">A YCrCb-based gate that excludes non-skin pixels (fabric, hair, accessories) leaking into a region polygon when its outer boundary comes from face-oval landmarks rather than an actual skin/occlusion boundary — e.g. a turban edge intruding into a forehead or cheek crop. YCrCb was chosen over RGB or HSV because the Cr/Cb chrominance channels stay comparatively stable across lighting changes and across the full range of human skin tones, while still separating skin from most fabric, hair, and background.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SKIN_TONE_GATE.cr_low</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130.0</w:t>
            </w:r>
          </w:p>
        </w:tc>
        <w:tc>
          <w:tcPr>
            <w:tcW w:type="dxa" w:w="3850"/>
            <w:tcMar>
              <w:top w:type="dxa" w:w="80"/>
              <w:left w:type="dxa" w:w="100"/>
              <w:bottom w:type="dxa" w:w="80"/>
              <w:right w:type="dxa" w:w="100"/>
            </w:tcMar>
            <w:vAlign w:val="center"/>
          </w:tcPr>
          <w:p>
            <w:r>
              <w:rPr>
                <w:sz w:val="19"/>
                <w:szCs w:val="19"/>
              </w:rPr>
              <w:t xml:space="preserve">Chroma-red lower bound for the skin gate</w:t>
            </w:r>
          </w:p>
        </w:tc>
        <w:tc>
          <w:tcPr>
            <w:tcW w:type="dxa" w:w="1800"/>
            <w:tcMar>
              <w:top w:type="dxa" w:w="80"/>
              <w:left w:type="dxa" w:w="100"/>
              <w:bottom w:type="dxa" w:w="80"/>
              <w:right w:type="dxa" w:w="100"/>
            </w:tcMar>
            <w:vAlign w:val="center"/>
          </w:tcPr>
          <w:p>
            <w:r>
              <w:rPr>
                <w:b/>
                <w:bCs/>
                <w:color w:val="1E7B34"/>
                <w:sz w:val="18"/>
                <w:szCs w:val="18"/>
              </w:rPr>
              <w:t xml:space="preserve">CALIBRATED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SKIN_TONE_GATE.cr_high</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175.0</w:t>
            </w:r>
          </w:p>
        </w:tc>
        <w:tc>
          <w:tcPr>
            <w:tcW w:type="dxa" w:w="3850"/>
            <w:shd w:fill="F2F5FA" w:val="clear"/>
            <w:tcMar>
              <w:top w:type="dxa" w:w="80"/>
              <w:left w:type="dxa" w:w="100"/>
              <w:bottom w:type="dxa" w:w="80"/>
              <w:right w:type="dxa" w:w="100"/>
            </w:tcMar>
            <w:vAlign w:val="center"/>
          </w:tcPr>
          <w:p>
            <w:r>
              <w:rPr>
                <w:sz w:val="19"/>
                <w:szCs w:val="19"/>
              </w:rPr>
              <w:t xml:space="preserve">Chroma-red upper bound</w:t>
            </w:r>
          </w:p>
        </w:tc>
        <w:tc>
          <w:tcPr>
            <w:tcW w:type="dxa" w:w="1800"/>
            <w:shd w:fill="F2F5FA" w:val="clear"/>
            <w:tcMar>
              <w:top w:type="dxa" w:w="80"/>
              <w:left w:type="dxa" w:w="100"/>
              <w:bottom w:type="dxa" w:w="80"/>
              <w:right w:type="dxa" w:w="100"/>
            </w:tcMar>
            <w:vAlign w:val="center"/>
          </w:tcPr>
          <w:p>
            <w:r>
              <w:rPr>
                <w:b/>
                <w:bCs/>
                <w:color w:val="1E7B34"/>
                <w:sz w:val="18"/>
                <w:szCs w:val="18"/>
              </w:rPr>
              <w:t xml:space="preserve">CALIBRATED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SKIN_TONE_GATE.cb_low</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75.0</w:t>
            </w:r>
          </w:p>
        </w:tc>
        <w:tc>
          <w:tcPr>
            <w:tcW w:type="dxa" w:w="3850"/>
            <w:tcMar>
              <w:top w:type="dxa" w:w="80"/>
              <w:left w:type="dxa" w:w="100"/>
              <w:bottom w:type="dxa" w:w="80"/>
              <w:right w:type="dxa" w:w="100"/>
            </w:tcMar>
            <w:vAlign w:val="center"/>
          </w:tcPr>
          <w:p>
            <w:r>
              <w:rPr>
                <w:sz w:val="19"/>
                <w:szCs w:val="19"/>
              </w:rPr>
              <w:t xml:space="preserve">Chroma-blue lower bound</w:t>
            </w:r>
          </w:p>
        </w:tc>
        <w:tc>
          <w:tcPr>
            <w:tcW w:type="dxa" w:w="1800"/>
            <w:tcMar>
              <w:top w:type="dxa" w:w="80"/>
              <w:left w:type="dxa" w:w="100"/>
              <w:bottom w:type="dxa" w:w="80"/>
              <w:right w:type="dxa" w:w="100"/>
            </w:tcMar>
            <w:vAlign w:val="center"/>
          </w:tcPr>
          <w:p>
            <w:r>
              <w:rPr>
                <w:b/>
                <w:bCs/>
                <w:color w:val="1E7B34"/>
                <w:sz w:val="18"/>
                <w:szCs w:val="18"/>
              </w:rPr>
              <w:t xml:space="preserve">CALIBRATED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SKIN_TONE_GATE.cb_high</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130.0</w:t>
            </w:r>
          </w:p>
        </w:tc>
        <w:tc>
          <w:tcPr>
            <w:tcW w:type="dxa" w:w="3850"/>
            <w:shd w:fill="F2F5FA" w:val="clear"/>
            <w:tcMar>
              <w:top w:type="dxa" w:w="80"/>
              <w:left w:type="dxa" w:w="100"/>
              <w:bottom w:type="dxa" w:w="80"/>
              <w:right w:type="dxa" w:w="100"/>
            </w:tcMar>
            <w:vAlign w:val="center"/>
          </w:tcPr>
          <w:p>
            <w:r>
              <w:rPr>
                <w:sz w:val="19"/>
                <w:szCs w:val="19"/>
              </w:rPr>
              <w:t xml:space="preserve">Chroma-blue upper bound</w:t>
            </w:r>
          </w:p>
        </w:tc>
        <w:tc>
          <w:tcPr>
            <w:tcW w:type="dxa" w:w="1800"/>
            <w:shd w:fill="F2F5FA" w:val="clear"/>
            <w:tcMar>
              <w:top w:type="dxa" w:w="80"/>
              <w:left w:type="dxa" w:w="100"/>
              <w:bottom w:type="dxa" w:w="80"/>
              <w:right w:type="dxa" w:w="100"/>
            </w:tcMar>
            <w:vAlign w:val="center"/>
          </w:tcPr>
          <w:p>
            <w:r>
              <w:rPr>
                <w:b/>
                <w:bCs/>
                <w:color w:val="1E7B34"/>
                <w:sz w:val="18"/>
                <w:szCs w:val="18"/>
              </w:rPr>
              <w:t xml:space="preserve">CALIBRATED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SKIN_TONE_GATE.min_pixels</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50</w:t>
            </w:r>
          </w:p>
        </w:tc>
        <w:tc>
          <w:tcPr>
            <w:tcW w:type="dxa" w:w="3850"/>
            <w:tcMar>
              <w:top w:type="dxa" w:w="80"/>
              <w:left w:type="dxa" w:w="100"/>
              <w:bottom w:type="dxa" w:w="80"/>
              <w:right w:type="dxa" w:w="100"/>
            </w:tcMar>
            <w:vAlign w:val="center"/>
          </w:tcPr>
          <w:p>
            <w:r>
              <w:rPr>
                <w:sz w:val="19"/>
                <w:szCs w:val="19"/>
              </w:rPr>
              <w:t xml:space="preserve">Below this many gated pixels, region is treated as unavailable</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LIP_TONE_GATE.cr_low</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130.0</w:t>
            </w:r>
          </w:p>
        </w:tc>
        <w:tc>
          <w:tcPr>
            <w:tcW w:type="dxa" w:w="3850"/>
            <w:shd w:fill="F2F5FA" w:val="clear"/>
            <w:tcMar>
              <w:top w:type="dxa" w:w="80"/>
              <w:left w:type="dxa" w:w="100"/>
              <w:bottom w:type="dxa" w:w="80"/>
              <w:right w:type="dxa" w:w="100"/>
            </w:tcMar>
            <w:vAlign w:val="center"/>
          </w:tcPr>
          <w:p>
            <w:r>
              <w:rPr>
                <w:sz w:val="19"/>
                <w:szCs w:val="19"/>
              </w:rPr>
              <w:t xml:space="preserve">Same basis as skin gate</w:t>
            </w:r>
          </w:p>
        </w:tc>
        <w:tc>
          <w:tcPr>
            <w:tcW w:type="dxa" w:w="1800"/>
            <w:shd w:fill="F2F5FA" w:val="clear"/>
            <w:tcMar>
              <w:top w:type="dxa" w:w="80"/>
              <w:left w:type="dxa" w:w="100"/>
              <w:bottom w:type="dxa" w:w="80"/>
              <w:right w:type="dxa" w:w="100"/>
            </w:tcMar>
            <w:vAlign w:val="center"/>
          </w:tcPr>
          <w:p>
            <w:r>
              <w:rPr>
                <w:b/>
                <w:bCs/>
                <w:color w:val="555555"/>
                <w:sz w:val="18"/>
                <w:szCs w:val="18"/>
              </w:rPr>
              <w:t xml:space="preserve">MATCHED / INHERITED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LIP_TONE_GATE.cr_high</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210.0</w:t>
            </w:r>
          </w:p>
        </w:tc>
        <w:tc>
          <w:tcPr>
            <w:tcW w:type="dxa" w:w="3850"/>
            <w:tcMar>
              <w:top w:type="dxa" w:w="80"/>
              <w:left w:type="dxa" w:w="100"/>
              <w:bottom w:type="dxa" w:w="80"/>
              <w:right w:type="dxa" w:w="100"/>
            </w:tcMar>
            <w:vAlign w:val="center"/>
          </w:tcPr>
          <w:p>
            <w:r>
              <w:rPr>
                <w:sz w:val="19"/>
                <w:szCs w:val="19"/>
              </w:rPr>
              <w:t xml:space="preserve">Widened vs. skin gate — lips trend more saturated/red</w:t>
            </w:r>
          </w:p>
        </w:tc>
        <w:tc>
          <w:tcPr>
            <w:tcW w:type="dxa" w:w="1800"/>
            <w:tcMar>
              <w:top w:type="dxa" w:w="80"/>
              <w:left w:type="dxa" w:w="100"/>
              <w:bottom w:type="dxa" w:w="80"/>
              <w:right w:type="dxa" w:w="100"/>
            </w:tcMar>
            <w:vAlign w:val="center"/>
          </w:tcPr>
          <w:p>
            <w:r>
              <w:rPr>
                <w:b/>
                <w:bCs/>
                <w:color w:val="555555"/>
                <w:sz w:val="18"/>
                <w:szCs w:val="18"/>
              </w:rPr>
              <w:t xml:space="preserve">MATCHED / INHERITED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LIP_TONE_GATE.cb_low</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75.0</w:t>
            </w:r>
          </w:p>
        </w:tc>
        <w:tc>
          <w:tcPr>
            <w:tcW w:type="dxa" w:w="3850"/>
            <w:shd w:fill="F2F5FA" w:val="clear"/>
            <w:tcMar>
              <w:top w:type="dxa" w:w="80"/>
              <w:left w:type="dxa" w:w="100"/>
              <w:bottom w:type="dxa" w:w="80"/>
              <w:right w:type="dxa" w:w="100"/>
            </w:tcMar>
            <w:vAlign w:val="center"/>
          </w:tcPr>
          <w:p>
            <w:r>
              <w:rPr>
                <w:sz w:val="19"/>
                <w:szCs w:val="19"/>
              </w:rPr>
              <w:t xml:space="preserve">Same basis as skin gate</w:t>
            </w:r>
          </w:p>
        </w:tc>
        <w:tc>
          <w:tcPr>
            <w:tcW w:type="dxa" w:w="1800"/>
            <w:shd w:fill="F2F5FA" w:val="clear"/>
            <w:tcMar>
              <w:top w:type="dxa" w:w="80"/>
              <w:left w:type="dxa" w:w="100"/>
              <w:bottom w:type="dxa" w:w="80"/>
              <w:right w:type="dxa" w:w="100"/>
            </w:tcMar>
            <w:vAlign w:val="center"/>
          </w:tcPr>
          <w:p>
            <w:r>
              <w:rPr>
                <w:b/>
                <w:bCs/>
                <w:color w:val="555555"/>
                <w:sz w:val="18"/>
                <w:szCs w:val="18"/>
              </w:rPr>
              <w:t xml:space="preserve">MATCHED / INHERITED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LIP_TONE_GATE.cb_high</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135.0</w:t>
            </w:r>
          </w:p>
        </w:tc>
        <w:tc>
          <w:tcPr>
            <w:tcW w:type="dxa" w:w="3850"/>
            <w:tcMar>
              <w:top w:type="dxa" w:w="80"/>
              <w:left w:type="dxa" w:w="100"/>
              <w:bottom w:type="dxa" w:w="80"/>
              <w:right w:type="dxa" w:w="100"/>
            </w:tcMar>
            <w:vAlign w:val="center"/>
          </w:tcPr>
          <w:p>
            <w:r>
              <w:rPr>
                <w:sz w:val="19"/>
                <w:szCs w:val="19"/>
              </w:rPr>
              <w:t xml:space="preserve">Same basis as skin gate</w:t>
            </w:r>
          </w:p>
        </w:tc>
        <w:tc>
          <w:tcPr>
            <w:tcW w:type="dxa" w:w="1800"/>
            <w:tcMar>
              <w:top w:type="dxa" w:w="80"/>
              <w:left w:type="dxa" w:w="100"/>
              <w:bottom w:type="dxa" w:w="80"/>
              <w:right w:type="dxa" w:w="100"/>
            </w:tcMar>
            <w:vAlign w:val="center"/>
          </w:tcPr>
          <w:p>
            <w:r>
              <w:rPr>
                <w:b/>
                <w:bCs/>
                <w:color w:val="555555"/>
                <w:sz w:val="18"/>
                <w:szCs w:val="18"/>
              </w:rPr>
              <w:t xml:space="preserve">MATCHED / INHERITED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LIP_TONE_GATE.min_pixels</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30</w:t>
            </w:r>
          </w:p>
        </w:tc>
        <w:tc>
          <w:tcPr>
            <w:tcW w:type="dxa" w:w="3850"/>
            <w:shd w:fill="F2F5FA" w:val="clear"/>
            <w:tcMar>
              <w:top w:type="dxa" w:w="80"/>
              <w:left w:type="dxa" w:w="100"/>
              <w:bottom w:type="dxa" w:w="80"/>
              <w:right w:type="dxa" w:w="100"/>
            </w:tcMar>
            <w:vAlign w:val="center"/>
          </w:tcPr>
          <w:p>
            <w:r>
              <w:rPr>
                <w:sz w:val="19"/>
                <w:szCs w:val="19"/>
              </w:rPr>
              <w:t xml:space="preserve">Reliability floor for the lip region</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This is the one group in the entire file with a documented, if informal, validation process: the band was calibrated against a light-to-dark skin-tone gradient (Cr 136–166, Cb 83–122 across the gradient) with a small safety margin, then checked against five out-of-class materials — navy fabric, black hair, white fabric, red fabric, and denim — all of which fell outside the band. It is still a heuristic gate rather than a calibrated skin-detection model, and the widened LIP_TONE_GATE bounds were not independently re-validated the same way, but this group needs comparatively less scrutiny than the rest of the file. It would still benefit from stress-testing against more skin tones and lighting conditions once the real dataset is available.</w:t>
      </w:r>
    </w:p>
    <w:p>
      <w:pPr>
        <w:spacing w:after="200"/>
      </w:pPr>
    </w:p>
    <w:p>
      <w:pPr>
        <w:pStyle w:val="Heading2"/>
        <w:spacing w:after="150" w:before="300"/>
      </w:pPr>
      <w:r>
        <w:rPr>
          <w:b/>
          <w:bCs/>
          <w:color w:val="2E5395"/>
        </w:rPr>
        <w:t xml:space="preserve">Per-person calibration — CALIBRATION (_Calibration)</w:t>
      </w:r>
    </w:p>
    <w:p>
      <w:pPr>
        <w:spacing w:after="160" w:line="276"/>
      </w:pPr>
      <w:r>
        <w:t xml:space="preserve">Dark-circle scoring (luminance-based) and skin-redness scoring (relative-red-based) each originally compared a region against one fixed global reference (DARK_CIRCLE.bright_luminance, SKIN_REDNESS.baseline_rel_r). Both raw luminance and raw relative-red dominance vary systematically with a person's actual skin tone, independent of whether they have dark circles or redness — so a fixed global reference reads darker-skinned people as having more “dark circle” signal, and can misread lighter-skinned people's neutral rel_r as artificially elevated, from skin tone alone.</w:t>
      </w:r>
    </w:p>
    <w:p>
      <w:pPr>
        <w:spacing w:after="160" w:line="276"/>
      </w:pPr>
      <w:r>
        <w:t xml:space="preserve">The fix derives a per-person reference from the person's own forehead — the region least likely to carry dark-circle or lip-pallor-style pathology, and a large, easy-to-sample area — and scores other regions relative to that instead of one fixed constant. The forehead's own redness score is still computed the usual way against SKIN_REDNESS.baseline_rel_r; calibration changes what other regions are compared against, not the forehead's own reading of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min_pixels</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50</w:t>
            </w:r>
          </w:p>
        </w:tc>
        <w:tc>
          <w:tcPr>
            <w:tcW w:type="dxa" w:w="3850"/>
            <w:tcMar>
              <w:top w:type="dxa" w:w="80"/>
              <w:left w:type="dxa" w:w="100"/>
              <w:bottom w:type="dxa" w:w="80"/>
              <w:right w:type="dxa" w:w="100"/>
            </w:tcMar>
            <w:vAlign w:val="center"/>
          </w:tcPr>
          <w:p>
            <w:r>
              <w:rPr>
                <w:sz w:val="19"/>
                <w:szCs w:val="19"/>
              </w:rPr>
              <w:t xml:space="preserve">Below this many tone-gate-passed forehead pixels, the baseline is treated as unreliable</w:t>
            </w:r>
          </w:p>
        </w:tc>
        <w:tc>
          <w:tcPr>
            <w:tcW w:type="dxa" w:w="1800"/>
            <w:tcMar>
              <w:top w:type="dxa" w:w="80"/>
              <w:left w:type="dxa" w:w="100"/>
              <w:bottom w:type="dxa" w:w="80"/>
              <w:right w:type="dxa" w:w="100"/>
            </w:tcMar>
            <w:vAlign w:val="center"/>
          </w:tcPr>
          <w:p>
            <w:r>
              <w:rPr>
                <w:b/>
                <w:bCs/>
                <w:color w:val="555555"/>
                <w:sz w:val="18"/>
                <w:szCs w:val="18"/>
              </w:rPr>
              <w:t xml:space="preserve">MATCHED / INHERITED</w:t>
            </w:r>
          </w:p>
        </w:tc>
      </w:tr>
    </w:tbl>
    <w:p>
      <w:pPr>
        <w:spacing w:after="200"/>
      </w:pPr>
      <w:r>
        <w:rPr>
          <w:i/>
          <w:iCs/>
          <w:color w:val="555555"/>
          <w:sz w:val="20"/>
          <w:szCs w:val="20"/>
        </w:rPr>
        <w:t xml:space="preserve">Mirrors SKIN_TONE_GATE.min_pixels on the same reasoning — too few pixels to trust a mean.</w:t>
      </w:r>
    </w:p>
    <w:p>
      <w:pPr>
        <w:spacing w:after="200"/>
      </w:pPr>
    </w:p>
    <w:p>
      <w:pPr>
        <w:pStyle w:val="Heading1"/>
        <w:spacing w:after="200" w:before="400"/>
      </w:pPr>
      <w:r>
        <w:rPr>
          <w:b/>
          <w:bCs/>
          <w:color w:val="1F3864"/>
        </w:rPr>
        <w:t xml:space="preserve">Phase 4 — Observation Engine</w:t>
      </w:r>
    </w:p>
    <w:p>
      <w:pPr>
        <w:spacing w:after="160" w:line="276"/>
      </w:pPr>
      <w:r>
        <w:t xml:space="preserve">This phase consumes Phase 3's raw scores and turns them into narrative labels and cross-feature observations. Its constants split into two kinds: SeverityBand instances (module-level, three-cut label boundaries) and four small dataclasses covering face-level, mouth-level, cross-side, and confidence-scoring logic.</w:t>
      </w:r>
    </w:p>
    <w:p>
      <w:pPr>
        <w:spacing w:after="120"/>
      </w:pPr>
    </w:p>
    <w:p>
      <w:pPr>
        <w:pStyle w:val="Heading2"/>
        <w:spacing w:after="150" w:before="300"/>
      </w:pPr>
      <w:r>
        <w:rPr>
          <w:b/>
          <w:bCs/>
          <w:color w:val="2E5395"/>
        </w:rPr>
        <w:t xml:space="preserve">Per-feature severity bands</w:t>
      </w:r>
    </w:p>
    <w:p>
      <w:pPr>
        <w:spacing w:after="160" w:line="276"/>
      </w:pPr>
      <w:r>
        <w:t xml:space="preserve">One SeverityBand instance per feature, each feeding _severity(score, band.mild, band.moderate, band.notable) to produce the narrative tier shown in the final report. All are asserted — none have a recorded derivation.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EYE_DARK_CIRCLE_SEVERITY</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35 / 55 / 75</w:t>
            </w:r>
          </w:p>
        </w:tc>
        <w:tc>
          <w:tcPr>
            <w:tcW w:type="dxa" w:w="3850"/>
            <w:tcMar>
              <w:top w:type="dxa" w:w="80"/>
              <w:left w:type="dxa" w:w="100"/>
              <w:bottom w:type="dxa" w:w="80"/>
              <w:right w:type="dxa" w:w="100"/>
            </w:tcMar>
            <w:vAlign w:val="center"/>
          </w:tcPr>
          <w:p>
            <w:r>
              <w:rPr>
                <w:sz w:val="19"/>
                <w:szCs w:val="19"/>
              </w:rPr>
              <w:t xml:space="preserve">mild / moderate / notable cut points</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EYE_REDNESS_SEVERITY</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30 / 55 / 75</w:t>
            </w:r>
          </w:p>
        </w:tc>
        <w:tc>
          <w:tcPr>
            <w:tcW w:type="dxa" w:w="3850"/>
            <w:shd w:fill="F2F5FA" w:val="clear"/>
            <w:tcMar>
              <w:top w:type="dxa" w:w="80"/>
              <w:left w:type="dxa" w:w="100"/>
              <w:bottom w:type="dxa" w:w="80"/>
              <w:right w:type="dxa" w:w="100"/>
            </w:tcMar>
            <w:vAlign w:val="center"/>
          </w:tcPr>
          <w:p>
            <w:r>
              <w:rPr>
                <w:sz w:val="19"/>
                <w:szCs w:val="19"/>
              </w:rPr>
              <w:t xml:space="preserve">mild / moderate / notable cut points</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EYE_PUFFINESS_SEVERITY</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35 / 60 / 78</w:t>
            </w:r>
          </w:p>
        </w:tc>
        <w:tc>
          <w:tcPr>
            <w:tcW w:type="dxa" w:w="3850"/>
            <w:tcMar>
              <w:top w:type="dxa" w:w="80"/>
              <w:left w:type="dxa" w:w="100"/>
              <w:bottom w:type="dxa" w:w="80"/>
              <w:right w:type="dxa" w:w="100"/>
            </w:tcMar>
            <w:vAlign w:val="center"/>
          </w:tcPr>
          <w:p>
            <w:r>
              <w:rPr>
                <w:sz w:val="19"/>
                <w:szCs w:val="19"/>
              </w:rPr>
              <w:t xml:space="preserve">mild / moderate / notable cut points</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SKIN_ACNE_SEVERITY</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20 / 45 / 70</w:t>
            </w:r>
          </w:p>
        </w:tc>
        <w:tc>
          <w:tcPr>
            <w:tcW w:type="dxa" w:w="3850"/>
            <w:shd w:fill="F2F5FA" w:val="clear"/>
            <w:tcMar>
              <w:top w:type="dxa" w:w="80"/>
              <w:left w:type="dxa" w:w="100"/>
              <w:bottom w:type="dxa" w:w="80"/>
              <w:right w:type="dxa" w:w="100"/>
            </w:tcMar>
            <w:vAlign w:val="center"/>
          </w:tcPr>
          <w:p>
            <w:r>
              <w:rPr>
                <w:sz w:val="19"/>
                <w:szCs w:val="19"/>
              </w:rPr>
              <w:t xml:space="preserve">mild / moderate / notable cut points</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SKIN_REDNESS_SEVERITY</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25 / 50 / 70</w:t>
            </w:r>
          </w:p>
        </w:tc>
        <w:tc>
          <w:tcPr>
            <w:tcW w:type="dxa" w:w="3850"/>
            <w:tcMar>
              <w:top w:type="dxa" w:w="80"/>
              <w:left w:type="dxa" w:w="100"/>
              <w:bottom w:type="dxa" w:w="80"/>
              <w:right w:type="dxa" w:w="100"/>
            </w:tcMar>
            <w:vAlign w:val="center"/>
          </w:tcPr>
          <w:p>
            <w:r>
              <w:rPr>
                <w:sz w:val="19"/>
                <w:szCs w:val="19"/>
              </w:rPr>
              <w:t xml:space="preserve">mild / moderate / notable cut points</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SKIN_TEXTURE_SEVERITY</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30 / 55 / 75</w:t>
            </w:r>
          </w:p>
        </w:tc>
        <w:tc>
          <w:tcPr>
            <w:tcW w:type="dxa" w:w="3850"/>
            <w:shd w:fill="F2F5FA" w:val="clear"/>
            <w:tcMar>
              <w:top w:type="dxa" w:w="80"/>
              <w:left w:type="dxa" w:w="100"/>
              <w:bottom w:type="dxa" w:w="80"/>
              <w:right w:type="dxa" w:w="100"/>
            </w:tcMar>
            <w:vAlign w:val="center"/>
          </w:tcPr>
          <w:p>
            <w:r>
              <w:rPr>
                <w:sz w:val="19"/>
                <w:szCs w:val="19"/>
              </w:rPr>
              <w:t xml:space="preserve">mild / moderate / notable cut points</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SKIN_NOSE_ACNE_SEVERITY</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20 / 45 / 70</w:t>
            </w:r>
          </w:p>
        </w:tc>
        <w:tc>
          <w:tcPr>
            <w:tcW w:type="dxa" w:w="3850"/>
            <w:tcMar>
              <w:top w:type="dxa" w:w="80"/>
              <w:left w:type="dxa" w:w="100"/>
              <w:bottom w:type="dxa" w:w="80"/>
              <w:right w:type="dxa" w:w="100"/>
            </w:tcMar>
            <w:vAlign w:val="center"/>
          </w:tcPr>
          <w:p>
            <w:r>
              <w:rPr>
                <w:sz w:val="19"/>
                <w:szCs w:val="19"/>
              </w:rPr>
              <w:t xml:space="preserve">Own band, kept separate from cheek despite identical numbers — see note</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SKIN_NOSE_REDNESS_SEVERITY</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25 / 50 / 70</w:t>
            </w:r>
          </w:p>
        </w:tc>
        <w:tc>
          <w:tcPr>
            <w:tcW w:type="dxa" w:w="3850"/>
            <w:shd w:fill="F2F5FA" w:val="clear"/>
            <w:tcMar>
              <w:top w:type="dxa" w:w="80"/>
              <w:left w:type="dxa" w:w="100"/>
              <w:bottom w:type="dxa" w:w="80"/>
              <w:right w:type="dxa" w:w="100"/>
            </w:tcMar>
            <w:vAlign w:val="center"/>
          </w:tcPr>
          <w:p>
            <w:r>
              <w:rPr>
                <w:sz w:val="19"/>
                <w:szCs w:val="19"/>
              </w:rPr>
              <w:t xml:space="preserve">Identical to SKIN_REDNESS_SEVERITY — see note</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SKIN_NOSE_TEXTURE_SEVERITY</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35 / 60 / 80</w:t>
            </w:r>
          </w:p>
        </w:tc>
        <w:tc>
          <w:tcPr>
            <w:tcW w:type="dxa" w:w="3850"/>
            <w:tcMar>
              <w:top w:type="dxa" w:w="80"/>
              <w:left w:type="dxa" w:w="100"/>
              <w:bottom w:type="dxa" w:w="80"/>
              <w:right w:type="dxa" w:w="100"/>
            </w:tcMar>
            <w:vAlign w:val="center"/>
          </w:tcPr>
          <w:p>
            <w:r>
              <w:rPr>
                <w:sz w:val="19"/>
                <w:szCs w:val="19"/>
              </w:rPr>
              <w:t xml:space="preserve">Distinct from cheek's texture band</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LIP_DRYNESS_SEVERITY</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30 / 55 / 75</w:t>
            </w:r>
          </w:p>
        </w:tc>
        <w:tc>
          <w:tcPr>
            <w:tcW w:type="dxa" w:w="3850"/>
            <w:shd w:fill="F2F5FA" w:val="clear"/>
            <w:tcMar>
              <w:top w:type="dxa" w:w="80"/>
              <w:left w:type="dxa" w:w="100"/>
              <w:bottom w:type="dxa" w:w="80"/>
              <w:right w:type="dxa" w:w="100"/>
            </w:tcMar>
            <w:vAlign w:val="center"/>
          </w:tcPr>
          <w:p>
            <w:r>
              <w:rPr>
                <w:sz w:val="19"/>
                <w:szCs w:val="19"/>
              </w:rPr>
              <w:t xml:space="preserve">mild / moderate / notable cut points</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LIP_COLOR_INCONSISTENCY_SEVERITY</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25 / 50 / 70</w:t>
            </w:r>
          </w:p>
        </w:tc>
        <w:tc>
          <w:tcPr>
            <w:tcW w:type="dxa" w:w="3850"/>
            <w:tcMar>
              <w:top w:type="dxa" w:w="80"/>
              <w:left w:type="dxa" w:w="100"/>
              <w:bottom w:type="dxa" w:w="80"/>
              <w:right w:type="dxa" w:w="100"/>
            </w:tcMar>
            <w:vAlign w:val="center"/>
          </w:tcPr>
          <w:p>
            <w:r>
              <w:rPr>
                <w:sz w:val="19"/>
                <w:szCs w:val="19"/>
              </w:rPr>
              <w:t xml:space="preserve">mild / moderate / notable cut points</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LIP_PALLOR_SEVERITY</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35 / 60 / 80</w:t>
            </w:r>
          </w:p>
        </w:tc>
        <w:tc>
          <w:tcPr>
            <w:tcW w:type="dxa" w:w="3850"/>
            <w:shd w:fill="F2F5FA" w:val="clear"/>
            <w:tcMar>
              <w:top w:type="dxa" w:w="80"/>
              <w:left w:type="dxa" w:w="100"/>
              <w:bottom w:type="dxa" w:w="80"/>
              <w:right w:type="dxa" w:w="100"/>
            </w:tcMar>
            <w:vAlign w:val="center"/>
          </w:tcPr>
          <w:p>
            <w:r>
              <w:rPr>
                <w:sz w:val="19"/>
                <w:szCs w:val="19"/>
              </w:rPr>
              <w:t xml:space="preserve">mild / moderate / notable cut points</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Nose reuses TEXTURE/ACNE/SKIN_REDNESS for scoring (same _analyze_skin pipeline as forehead/cheeks) but gets its own Phase 4 severity band, since nose skin is more oil-prone, has a smaller surface area, and is prone to Laplacian-variance spikes from nostril/tip shadow even when not genuinely textured — that reasoning is reflected in SKIN_NOSE_TEXTURE_SEVERITY and SKIN_NOSE_ACNE_SEVERITY differing from their cheek counterparts. SKIN_NOSE_REDNESS_SEVERITY, however, is numerically identical to SKIN_REDNESS_SEVERITY (25/50/70) despite the same stated reasoning for keeping nose separate. That may be intentional — redness genuinely may transfer across regions even where acne/texture don't — or it may be a case where only acne and texture were actually reconsidered for nose and redness was carried over unchanged. Worth clarifying which it is, since right now the code doesn't say.</w:t>
      </w:r>
    </w:p>
    <w:p>
      <w:pPr>
        <w:spacing w:after="200"/>
      </w:pPr>
    </w:p>
    <w:p>
      <w:pPr>
        <w:pStyle w:val="Heading2"/>
        <w:spacing w:after="150" w:before="300"/>
      </w:pPr>
      <w:r>
        <w:rPr>
          <w:b/>
          <w:bCs/>
          <w:color w:val="2E5395"/>
        </w:rPr>
        <w:t xml:space="preserve">_FaceObservation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symmetry_normal</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90.0</w:t>
            </w:r>
          </w:p>
        </w:tc>
        <w:tc>
          <w:tcPr>
            <w:tcW w:type="dxa" w:w="3850"/>
            <w:tcMar>
              <w:top w:type="dxa" w:w="80"/>
              <w:left w:type="dxa" w:w="100"/>
              <w:bottom w:type="dxa" w:w="80"/>
              <w:right w:type="dxa" w:w="100"/>
            </w:tcMar>
            <w:vAlign w:val="center"/>
          </w:tcPr>
          <w:p>
            <w:r>
              <w:rPr>
                <w:sz w:val="19"/>
                <w:szCs w:val="19"/>
              </w:rPr>
              <w:t xml:space="preserve">Narrative symmetry band, top tier</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symmetry_slight</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75.0</w:t>
            </w:r>
          </w:p>
        </w:tc>
        <w:tc>
          <w:tcPr>
            <w:tcW w:type="dxa" w:w="3850"/>
            <w:shd w:fill="F2F5FA" w:val="clear"/>
            <w:tcMar>
              <w:top w:type="dxa" w:w="80"/>
              <w:left w:type="dxa" w:w="100"/>
              <w:bottom w:type="dxa" w:w="80"/>
              <w:right w:type="dxa" w:w="100"/>
            </w:tcMar>
            <w:vAlign w:val="center"/>
          </w:tcPr>
          <w:p>
            <w:r>
              <w:rPr>
                <w:sz w:val="19"/>
                <w:szCs w:val="19"/>
              </w:rPr>
              <w:t xml:space="preserve">Narrative symmetry band</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symmetry_mild</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55.0</w:t>
            </w:r>
          </w:p>
        </w:tc>
        <w:tc>
          <w:tcPr>
            <w:tcW w:type="dxa" w:w="3850"/>
            <w:tcMar>
              <w:top w:type="dxa" w:w="80"/>
              <w:left w:type="dxa" w:w="100"/>
              <w:bottom w:type="dxa" w:w="80"/>
              <w:right w:type="dxa" w:w="100"/>
            </w:tcMar>
            <w:vAlign w:val="center"/>
          </w:tcPr>
          <w:p>
            <w:r>
              <w:rPr>
                <w:sz w:val="19"/>
                <w:szCs w:val="19"/>
              </w:rPr>
              <w:t xml:space="preserve">Narrative symmetry band, bottom tier</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tilt_level</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3.0°</w:t>
            </w:r>
          </w:p>
        </w:tc>
        <w:tc>
          <w:tcPr>
            <w:tcW w:type="dxa" w:w="3850"/>
            <w:shd w:fill="F2F5FA" w:val="clear"/>
            <w:tcMar>
              <w:top w:type="dxa" w:w="80"/>
              <w:left w:type="dxa" w:w="100"/>
              <w:bottom w:type="dxa" w:w="80"/>
              <w:right w:type="dxa" w:w="100"/>
            </w:tcMar>
            <w:vAlign w:val="center"/>
          </w:tcPr>
          <w:p>
            <w:r>
              <w:rPr>
                <w:sz w:val="19"/>
                <w:szCs w:val="19"/>
              </w:rPr>
              <w:t xml:space="preserve">Head tilt narrative band — below this reads level</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tilt_slight</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8.0°</w:t>
            </w:r>
          </w:p>
        </w:tc>
        <w:tc>
          <w:tcPr>
            <w:tcW w:type="dxa" w:w="3850"/>
            <w:tcMar>
              <w:top w:type="dxa" w:w="80"/>
              <w:left w:type="dxa" w:w="100"/>
              <w:bottom w:type="dxa" w:w="80"/>
              <w:right w:type="dxa" w:w="100"/>
            </w:tcMar>
            <w:vAlign w:val="center"/>
          </w:tcPr>
          <w:p>
            <w:r>
              <w:rPr>
                <w:sz w:val="19"/>
                <w:szCs w:val="19"/>
              </w:rPr>
              <w:t xml:space="preserve">Head tilt narrative band — below this reads slight</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aspect_low</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1.2</w:t>
            </w:r>
          </w:p>
        </w:tc>
        <w:tc>
          <w:tcPr>
            <w:tcW w:type="dxa" w:w="3850"/>
            <w:shd w:fill="F2F5FA" w:val="clear"/>
            <w:tcMar>
              <w:top w:type="dxa" w:w="80"/>
              <w:left w:type="dxa" w:w="100"/>
              <w:bottom w:type="dxa" w:w="80"/>
              <w:right w:type="dxa" w:w="100"/>
            </w:tcMar>
            <w:vAlign w:val="center"/>
          </w:tcPr>
          <w:p>
            <w:r>
              <w:rPr>
                <w:sz w:val="19"/>
                <w:szCs w:val="19"/>
              </w:rPr>
              <w:t xml:space="preserve">Face aspect ratio (height/width) — lower bound of “normal”</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aspect_high</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1.6</w:t>
            </w:r>
          </w:p>
        </w:tc>
        <w:tc>
          <w:tcPr>
            <w:tcW w:type="dxa" w:w="3850"/>
            <w:tcMar>
              <w:top w:type="dxa" w:w="80"/>
              <w:left w:type="dxa" w:w="100"/>
              <w:bottom w:type="dxa" w:w="80"/>
              <w:right w:type="dxa" w:w="100"/>
            </w:tcMar>
            <w:vAlign w:val="center"/>
          </w:tcPr>
          <w:p>
            <w:r>
              <w:rPr>
                <w:sz w:val="19"/>
                <w:szCs w:val="19"/>
              </w:rPr>
              <w:t xml:space="preserve">Face aspect ratio — upper bound of “normal”</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swelling_none</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20.0</w:t>
            </w:r>
          </w:p>
        </w:tc>
        <w:tc>
          <w:tcPr>
            <w:tcW w:type="dxa" w:w="3850"/>
            <w:shd w:fill="F2F5FA" w:val="clear"/>
            <w:tcMar>
              <w:top w:type="dxa" w:w="80"/>
              <w:left w:type="dxa" w:w="100"/>
              <w:bottom w:type="dxa" w:w="80"/>
              <w:right w:type="dxa" w:w="100"/>
            </w:tcMar>
            <w:vAlign w:val="center"/>
          </w:tcPr>
          <w:p>
            <w:r>
              <w:rPr>
                <w:sz w:val="19"/>
                <w:szCs w:val="19"/>
              </w:rPr>
              <w:t xml:space="preserve">Narrative swelling band</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swelling_mild</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45.0</w:t>
            </w:r>
          </w:p>
        </w:tc>
        <w:tc>
          <w:tcPr>
            <w:tcW w:type="dxa" w:w="3850"/>
            <w:tcMar>
              <w:top w:type="dxa" w:w="80"/>
              <w:left w:type="dxa" w:w="100"/>
              <w:bottom w:type="dxa" w:w="80"/>
              <w:right w:type="dxa" w:w="100"/>
            </w:tcMar>
            <w:vAlign w:val="center"/>
          </w:tcPr>
          <w:p>
            <w:r>
              <w:rPr>
                <w:sz w:val="19"/>
                <w:szCs w:val="19"/>
              </w:rPr>
              <w:t xml:space="preserve">Narrative swelling band</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swelling_moderate</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70.0</w:t>
            </w:r>
          </w:p>
        </w:tc>
        <w:tc>
          <w:tcPr>
            <w:tcW w:type="dxa" w:w="3850"/>
            <w:shd w:fill="F2F5FA" w:val="clear"/>
            <w:tcMar>
              <w:top w:type="dxa" w:w="80"/>
              <w:left w:type="dxa" w:w="100"/>
              <w:bottom w:type="dxa" w:w="80"/>
              <w:right w:type="dxa" w:w="100"/>
            </w:tcMar>
            <w:vAlign w:val="center"/>
          </w:tcPr>
          <w:p>
            <w:r>
              <w:rPr>
                <w:sz w:val="19"/>
                <w:szCs w:val="19"/>
              </w:rPr>
              <w:t xml:space="preserve">Narrative swelling band</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symmetry_normal/slight/mild (90/75/55) and swelling_none/mild/moderate (20/45/70) are numerically identical to SYMMETRY's and SWELLING's own label cut points declared in Phase 1 and Phase 3 — the file deliberately keeps two separate constant sets for the same numeric boundaries (one for the Phase 3 score label, one for the Phase 4 narrative sentence tier) rather than having Phase 4 reference the Phase 3 constants directly. This is a known, intentional duplication rather than an oversight: it was reviewed and kept as-is during the Phase 4 rewrite. It does mean the two sets can silently drift out of sync if one is tuned without the other. Face aspect ratio (height/width) is the one constant pair here with a plausible outside anthropometric reference to check against, unlike most of the rest of this dataclass.</w:t>
      </w:r>
    </w:p>
    <w:p>
      <w:pPr>
        <w:spacing w:after="200"/>
      </w:pPr>
    </w:p>
    <w:p>
      <w:pPr>
        <w:pStyle w:val="Heading2"/>
        <w:spacing w:after="150" w:before="300"/>
      </w:pPr>
      <w:r>
        <w:rPr>
          <w:b/>
          <w:bCs/>
          <w:color w:val="2E5395"/>
        </w:rPr>
        <w:t xml:space="preserve">_MouthObservation, _CrossSide, _Confidence</w:t>
      </w:r>
    </w:p>
    <w:p>
      <w:pPr>
        <w:spacing w:after="160" w:line="276"/>
      </w:pPr>
      <w:r>
        <w:t xml:space="preserve">_MouthObservation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asymmetry_slight</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15.0</w:t>
            </w:r>
          </w:p>
        </w:tc>
        <w:tc>
          <w:tcPr>
            <w:tcW w:type="dxa" w:w="3850"/>
            <w:tcMar>
              <w:top w:type="dxa" w:w="80"/>
              <w:left w:type="dxa" w:w="100"/>
              <w:bottom w:type="dxa" w:w="80"/>
              <w:right w:type="dxa" w:w="100"/>
            </w:tcMar>
            <w:vAlign w:val="center"/>
          </w:tcPr>
          <w:p>
            <w:r>
              <w:rPr>
                <w:sz w:val="19"/>
                <w:szCs w:val="19"/>
              </w:rPr>
              <w:t xml:space="preserve">Narrative band over the MOUTH_SHAPE.asymmetry_divisor score</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asymmetry_mild</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35.0</w:t>
            </w:r>
          </w:p>
        </w:tc>
        <w:tc>
          <w:tcPr>
            <w:tcW w:type="dxa" w:w="3850"/>
            <w:shd w:fill="F2F5FA" w:val="clear"/>
            <w:tcMar>
              <w:top w:type="dxa" w:w="80"/>
              <w:left w:type="dxa" w:w="100"/>
              <w:bottom w:type="dxa" w:w="80"/>
              <w:right w:type="dxa" w:w="100"/>
            </w:tcMar>
            <w:vAlign w:val="center"/>
          </w:tcPr>
          <w:p>
            <w:r>
              <w:rPr>
                <w:sz w:val="19"/>
                <w:szCs w:val="19"/>
              </w:rPr>
              <w:t xml:space="preserve">Narrative band</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asymmetry_notable</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60.0</w:t>
            </w:r>
          </w:p>
        </w:tc>
        <w:tc>
          <w:tcPr>
            <w:tcW w:type="dxa" w:w="3850"/>
            <w:tcMar>
              <w:top w:type="dxa" w:w="80"/>
              <w:left w:type="dxa" w:w="100"/>
              <w:bottom w:type="dxa" w:w="80"/>
              <w:right w:type="dxa" w:w="100"/>
            </w:tcMar>
            <w:vAlign w:val="center"/>
          </w:tcPr>
          <w:p>
            <w:r>
              <w:rPr>
                <w:sz w:val="19"/>
                <w:szCs w:val="19"/>
              </w:rPr>
              <w:t xml:space="preserve">Narrative band</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curvature_neutral_band</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10.0</w:t>
            </w:r>
          </w:p>
        </w:tc>
        <w:tc>
          <w:tcPr>
            <w:tcW w:type="dxa" w:w="3850"/>
            <w:shd w:fill="F2F5FA" w:val="clear"/>
            <w:tcMar>
              <w:top w:type="dxa" w:w="80"/>
              <w:left w:type="dxa" w:w="100"/>
              <w:bottom w:type="dxa" w:w="80"/>
              <w:right w:type="dxa" w:w="100"/>
            </w:tcMar>
            <w:vAlign w:val="center"/>
          </w:tcPr>
          <w:p>
            <w:r>
              <w:rPr>
                <w:sz w:val="19"/>
                <w:szCs w:val="19"/>
              </w:rPr>
              <w:t xml:space="preserve">|curvature| below this → “neutral resting” note</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160" w:line="276"/>
      </w:pPr>
      <w:r>
        <w:t xml:space="preserve">_CrossSide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cheek_redness_diff</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25.0</w:t>
            </w:r>
          </w:p>
        </w:tc>
        <w:tc>
          <w:tcPr>
            <w:tcW w:type="dxa" w:w="3850"/>
            <w:tcMar>
              <w:top w:type="dxa" w:w="80"/>
              <w:left w:type="dxa" w:w="100"/>
              <w:bottom w:type="dxa" w:w="80"/>
              <w:right w:type="dxa" w:w="100"/>
            </w:tcMar>
            <w:vAlign w:val="center"/>
          </w:tcPr>
          <w:p>
            <w:r>
              <w:rPr>
                <w:sz w:val="19"/>
                <w:szCs w:val="19"/>
              </w:rPr>
              <w:t xml:space="preserve">Min L/R cheek redness-score difference to flag asymmetric redness</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eye_openness_notable</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20.0</w:t>
            </w:r>
          </w:p>
        </w:tc>
        <w:tc>
          <w:tcPr>
            <w:tcW w:type="dxa" w:w="3850"/>
            <w:shd w:fill="F2F5FA" w:val="clear"/>
            <w:tcMar>
              <w:top w:type="dxa" w:w="80"/>
              <w:left w:type="dxa" w:w="100"/>
              <w:bottom w:type="dxa" w:w="80"/>
              <w:right w:type="dxa" w:w="100"/>
            </w:tcMar>
            <w:vAlign w:val="center"/>
          </w:tcPr>
          <w:p>
            <w:r>
              <w:rPr>
                <w:sz w:val="19"/>
                <w:szCs w:val="19"/>
              </w:rPr>
              <w:t xml:space="preserve">L/R eye-openness difference — notable tier</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eye_openness_slight</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10.0</w:t>
            </w:r>
          </w:p>
        </w:tc>
        <w:tc>
          <w:tcPr>
            <w:tcW w:type="dxa" w:w="3850"/>
            <w:tcMar>
              <w:top w:type="dxa" w:w="80"/>
              <w:left w:type="dxa" w:w="100"/>
              <w:bottom w:type="dxa" w:w="80"/>
              <w:right w:type="dxa" w:w="100"/>
            </w:tcMar>
            <w:vAlign w:val="center"/>
          </w:tcPr>
          <w:p>
            <w:r>
              <w:rPr>
                <w:sz w:val="19"/>
                <w:szCs w:val="19"/>
              </w:rPr>
              <w:t xml:space="preserve">L/R eye-openness difference — slight tier</w:t>
            </w:r>
          </w:p>
        </w:tc>
        <w:tc>
          <w:tcPr>
            <w:tcW w:type="dxa" w:w="1800"/>
            <w:tcMar>
              <w:top w:type="dxa" w:w="80"/>
              <w:left w:type="dxa" w:w="100"/>
              <w:bottom w:type="dxa" w:w="80"/>
              <w:right w:type="dxa" w:w="100"/>
            </w:tcMar>
            <w:vAlign w:val="center"/>
          </w:tcPr>
          <w:p>
            <w:r>
              <w:rPr>
                <w:b/>
                <w:bCs/>
                <w:color w:val="B7791F"/>
                <w:sz w:val="18"/>
                <w:szCs w:val="18"/>
              </w:rPr>
              <w:t xml:space="preserve">ASSERTED</w:t>
            </w:r>
          </w:p>
        </w:tc>
      </w:tr>
    </w:tbl>
    <w:p>
      <w:pPr>
        <w:spacing w:after="160" w:line="276"/>
      </w:pPr>
      <w:r>
        <w:t xml:space="preserve">_Confidence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no_findings_base</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85.0</w:t>
            </w:r>
          </w:p>
        </w:tc>
        <w:tc>
          <w:tcPr>
            <w:tcW w:type="dxa" w:w="3850"/>
            <w:tcMar>
              <w:top w:type="dxa" w:w="80"/>
              <w:left w:type="dxa" w:w="100"/>
              <w:bottom w:type="dxa" w:w="80"/>
              <w:right w:type="dxa" w:w="100"/>
            </w:tcMar>
            <w:vAlign w:val="center"/>
          </w:tcPr>
          <w:p>
            <w:r>
              <w:rPr>
                <w:sz w:val="19"/>
                <w:szCs w:val="19"/>
              </w:rPr>
              <w:t xml:space="preserve">Starting confidence when no findings are flagged</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findings_base</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90.0</w:t>
            </w:r>
          </w:p>
        </w:tc>
        <w:tc>
          <w:tcPr>
            <w:tcW w:type="dxa" w:w="3850"/>
            <w:shd w:fill="F2F5FA" w:val="clear"/>
            <w:tcMar>
              <w:top w:type="dxa" w:w="80"/>
              <w:left w:type="dxa" w:w="100"/>
              <w:bottom w:type="dxa" w:w="80"/>
              <w:right w:type="dxa" w:w="100"/>
            </w:tcMar>
            <w:vAlign w:val="center"/>
          </w:tcPr>
          <w:p>
            <w:r>
              <w:rPr>
                <w:sz w:val="19"/>
                <w:szCs w:val="19"/>
              </w:rPr>
              <w:t xml:space="preserve">Starting confidence when findings are flagged</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findings_floor</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60.0</w:t>
            </w:r>
          </w:p>
        </w:tc>
        <w:tc>
          <w:tcPr>
            <w:tcW w:type="dxa" w:w="3850"/>
            <w:tcMar>
              <w:top w:type="dxa" w:w="80"/>
              <w:left w:type="dxa" w:w="100"/>
              <w:bottom w:type="dxa" w:w="80"/>
              <w:right w:type="dxa" w:w="100"/>
            </w:tcMar>
            <w:vAlign w:val="center"/>
          </w:tcPr>
          <w:p>
            <w:r>
              <w:rPr>
                <w:sz w:val="19"/>
                <w:szCs w:val="19"/>
              </w:rPr>
              <w:t xml:space="preserve">Confidence never drops below this regardless of finding count</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per_finding_drop</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3.0</w:t>
            </w:r>
          </w:p>
        </w:tc>
        <w:tc>
          <w:tcPr>
            <w:tcW w:type="dxa" w:w="3850"/>
            <w:shd w:fill="F2F5FA" w:val="clear"/>
            <w:tcMar>
              <w:top w:type="dxa" w:w="80"/>
              <w:left w:type="dxa" w:w="100"/>
              <w:bottom w:type="dxa" w:w="80"/>
              <w:right w:type="dxa" w:w="100"/>
            </w:tcMar>
            <w:vAlign w:val="center"/>
          </w:tcPr>
          <w:p>
            <w:r>
              <w:rPr>
                <w:sz w:val="19"/>
                <w:szCs w:val="19"/>
              </w:rPr>
              <w:t xml:space="preserve">Confidence points subtracted per additional finding</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_Confidence is worth flagging above the others in this section: it produces a number explicitly named “confidence” that will be shown to a user or a doctor, but nothing behind it is an actual measure of statistical or model confidence — it is four hand-picked constants arranged to produce a plausible-looking number that goes down as more findings accumulate. That may be a reasonable placeholder, but it is worth being explicit, wherever this number is surfaced in the report, that it is a heuristic engagement signal rather than a calibrated confidence interval — the word “confidence” carries a lot of implied rigor that these four asserted constants don't back up on their own.</w:t>
      </w:r>
    </w:p>
    <w:p>
      <w:pPr>
        <w:spacing w:after="200"/>
      </w:pPr>
    </w:p>
    <w:p>
      <w:pPr>
        <w:pStyle w:val="Heading1"/>
        <w:spacing w:after="200" w:before="400"/>
      </w:pPr>
      <w:r>
        <w:rPr>
          <w:b/>
          <w:bCs/>
          <w:color w:val="1F3864"/>
        </w:rPr>
        <w:t xml:space="preserve">Phase A2 — Trend Detector</w:t>
      </w:r>
    </w:p>
    <w:p>
      <w:pPr>
        <w:spacing w:after="160" w:line="276"/>
      </w:pPr>
      <w:r>
        <w:t xml:space="preserve">Multi-day trend detection over HistoryStore (A1) data. All tracked metrics live on the same 0-100 scale used everywhere else in the pipeline, so a single set of magnitude/consistency thresholds works across every metric rather than needing one per metric.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12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3850"/>
            <w:shd w:fill="1F3864" w:val="clear"/>
            <w:tcMar>
              <w:top w:type="dxa" w:w="80"/>
              <w:left w:type="dxa" w:w="100"/>
              <w:bottom w:type="dxa" w:w="80"/>
              <w:right w:type="dxa" w:w="100"/>
            </w:tcMar>
            <w:vAlign w:val="center"/>
          </w:tcPr>
          <w:p>
            <w:r>
              <w:rPr>
                <w:b/>
                <w:bCs/>
                <w:color w:val="FFFFFF"/>
                <w:sz w:val="19"/>
                <w:szCs w:val="19"/>
              </w:rPr>
              <w:t xml:space="preserve">Formula / Usage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Basis</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window_days</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14</w:t>
            </w:r>
          </w:p>
        </w:tc>
        <w:tc>
          <w:tcPr>
            <w:tcW w:type="dxa" w:w="3850"/>
            <w:tcMar>
              <w:top w:type="dxa" w:w="80"/>
              <w:left w:type="dxa" w:w="100"/>
              <w:bottom w:type="dxa" w:w="80"/>
              <w:right w:type="dxa" w:w="100"/>
            </w:tcMar>
            <w:vAlign w:val="center"/>
          </w:tcPr>
          <w:p>
            <w:r>
              <w:rPr>
                <w:sz w:val="19"/>
                <w:szCs w:val="19"/>
              </w:rPr>
              <w:t xml:space="preserve">How far back to look for a trend at all</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min_days</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3</w:t>
            </w:r>
          </w:p>
        </w:tc>
        <w:tc>
          <w:tcPr>
            <w:tcW w:type="dxa" w:w="3850"/>
            <w:shd w:fill="F2F5FA" w:val="clear"/>
            <w:tcMar>
              <w:top w:type="dxa" w:w="80"/>
              <w:left w:type="dxa" w:w="100"/>
              <w:bottom w:type="dxa" w:w="80"/>
              <w:right w:type="dxa" w:w="100"/>
            </w:tcMar>
            <w:vAlign w:val="center"/>
          </w:tcPr>
          <w:p>
            <w:r>
              <w:rPr>
                <w:sz w:val="19"/>
                <w:szCs w:val="19"/>
              </w:rPr>
              <w:t xml:space="preserve">Minimum distinct calendar days with data inside the window before a trend is evaluated — guards against two readings from one bad week reading as a “trend”</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r>
        <w:tc>
          <w:tcPr>
            <w:tcW w:type="dxa" w:w="2500"/>
            <w:tcMar>
              <w:top w:type="dxa" w:w="80"/>
              <w:left w:type="dxa" w:w="100"/>
              <w:bottom w:type="dxa" w:w="80"/>
              <w:right w:type="dxa" w:w="100"/>
            </w:tcMar>
            <w:vAlign w:val="center"/>
          </w:tcPr>
          <w:p>
            <w:r>
              <w:rPr>
                <w:rFonts w:ascii="Consolas" w:cs="Consolas" w:eastAsia="Consolas" w:hAnsi="Consolas"/>
                <w:sz w:val="19"/>
                <w:szCs w:val="19"/>
              </w:rPr>
              <w:t xml:space="preserve">min_total_change ★</w:t>
            </w:r>
          </w:p>
        </w:tc>
        <w:tc>
          <w:tcPr>
            <w:tcW w:type="dxa" w:w="1200"/>
            <w:tcMar>
              <w:top w:type="dxa" w:w="80"/>
              <w:left w:type="dxa" w:w="100"/>
              <w:bottom w:type="dxa" w:w="80"/>
              <w:right w:type="dxa" w:w="100"/>
            </w:tcMar>
            <w:vAlign w:val="center"/>
          </w:tcPr>
          <w:p>
            <w:r>
              <w:rPr>
                <w:rFonts w:ascii="Consolas" w:cs="Consolas" w:eastAsia="Consolas" w:hAnsi="Consolas"/>
                <w:sz w:val="19"/>
                <w:szCs w:val="19"/>
              </w:rPr>
              <w:t xml:space="preserve">8.0</w:t>
            </w:r>
          </w:p>
        </w:tc>
        <w:tc>
          <w:tcPr>
            <w:tcW w:type="dxa" w:w="3850"/>
            <w:tcMar>
              <w:top w:type="dxa" w:w="80"/>
              <w:left w:type="dxa" w:w="100"/>
              <w:bottom w:type="dxa" w:w="80"/>
              <w:right w:type="dxa" w:w="100"/>
            </w:tcMar>
            <w:vAlign w:val="center"/>
          </w:tcPr>
          <w:p>
            <w:r>
              <w:rPr>
                <w:sz w:val="19"/>
                <w:szCs w:val="19"/>
              </w:rPr>
              <w:t xml:space="preserve">Minimum |last − first| across the window to count as real movement rather than capture-to-capture lighting/pose noise</w:t>
            </w:r>
          </w:p>
        </w:tc>
        <w:tc>
          <w:tcPr>
            <w:tcW w:type="dxa" w:w="1800"/>
            <w:tcMar>
              <w:top w:type="dxa" w:w="80"/>
              <w:left w:type="dxa" w:w="100"/>
              <w:bottom w:type="dxa" w:w="80"/>
              <w:right w:type="dxa" w:w="100"/>
            </w:tcMar>
            <w:vAlign w:val="center"/>
          </w:tcPr>
          <w:p>
            <w:r>
              <w:rPr>
                <w:b/>
                <w:bCs/>
                <w:color w:val="B7791F"/>
                <w:sz w:val="18"/>
                <w:szCs w:val="18"/>
              </w:rPr>
              <w:t xml:space="preserve">ASSERTED</w:t>
            </w:r>
          </w:p>
        </w:tc>
      </w:tr>
      <w:tr>
        <w:tc>
          <w:tcPr>
            <w:tcW w:type="dxa" w:w="25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min_consistency</w:t>
            </w:r>
          </w:p>
        </w:tc>
        <w:tc>
          <w:tcPr>
            <w:tcW w:type="dxa" w:w="1200"/>
            <w:shd w:fill="F2F5FA" w:val="clear"/>
            <w:tcMar>
              <w:top w:type="dxa" w:w="80"/>
              <w:left w:type="dxa" w:w="100"/>
              <w:bottom w:type="dxa" w:w="80"/>
              <w:right w:type="dxa" w:w="100"/>
            </w:tcMar>
            <w:vAlign w:val="center"/>
          </w:tcPr>
          <w:p>
            <w:r>
              <w:rPr>
                <w:rFonts w:ascii="Consolas" w:cs="Consolas" w:eastAsia="Consolas" w:hAnsi="Consolas"/>
                <w:sz w:val="19"/>
                <w:szCs w:val="19"/>
              </w:rPr>
              <w:t xml:space="preserve">0.6</w:t>
            </w:r>
          </w:p>
        </w:tc>
        <w:tc>
          <w:tcPr>
            <w:tcW w:type="dxa" w:w="3850"/>
            <w:shd w:fill="F2F5FA" w:val="clear"/>
            <w:tcMar>
              <w:top w:type="dxa" w:w="80"/>
              <w:left w:type="dxa" w:w="100"/>
              <w:bottom w:type="dxa" w:w="80"/>
              <w:right w:type="dxa" w:w="100"/>
            </w:tcMar>
            <w:vAlign w:val="center"/>
          </w:tcPr>
          <w:p>
            <w:r>
              <w:rPr>
                <w:sz w:val="19"/>
                <w:szCs w:val="19"/>
              </w:rPr>
              <w:t xml:space="preserve">Minimum fraction of consecutive day-to-day deltas that must agree in sign with the overall slope — guards against one outlier day driving an otherwise flat series</w:t>
            </w:r>
          </w:p>
        </w:tc>
        <w:tc>
          <w:tcPr>
            <w:tcW w:type="dxa" w:w="1800"/>
            <w:shd w:fill="F2F5FA" w:val="clear"/>
            <w:tcMar>
              <w:top w:type="dxa" w:w="80"/>
              <w:left w:type="dxa" w:w="100"/>
              <w:bottom w:type="dxa" w:w="80"/>
              <w:right w:type="dxa" w:w="100"/>
            </w:tcMar>
            <w:vAlign w:val="center"/>
          </w:tcPr>
          <w:p>
            <w:r>
              <w:rPr>
                <w:b/>
                <w:bCs/>
                <w:color w:val="B7791F"/>
                <w:sz w:val="18"/>
                <w:szCs w:val="18"/>
              </w:rPr>
              <w:t xml:space="preserve">ASSERTED</w:t>
            </w:r>
          </w:p>
        </w:tc>
      </w:tr>
    </w:tbl>
    <w:p>
      <w:pPr>
        <w:spacing w:after="200"/>
      </w:pPr>
      <w:r>
        <w:rPr>
          <w:i/>
          <w:iCs/>
          <w:color w:val="555555"/>
          <w:sz w:val="20"/>
          <w:szCs w:val="20"/>
        </w:rPr>
        <w:t xml:space="preserve">This entire group is downstream of every other threshold in the file: trend detection runs on scores that are themselves shaped by all the asserted constants documented above, so its own thresholds (especially min_total_change, which decides what counts as real movement versus capture noise) can only be properly tuned after the upstream per-capture scores are validated. Recalibrating earlier groups will likely require revisiting these numbers too, not just the other way around.</w:t>
      </w:r>
    </w:p>
    <w:p>
      <w:pPr>
        <w:spacing w:after="200"/>
      </w:pPr>
    </w:p>
    <w:p>
      <w:pPr>
        <w:pStyle w:val="Heading1"/>
        <w:spacing w:after="200" w:before="400"/>
      </w:pPr>
      <w:r>
        <w:rPr>
          <w:b/>
          <w:bCs/>
          <w:color w:val="1F3864"/>
        </w:rPr>
        <w:t xml:space="preserve">Priority summary — what to check first against real data</w:t>
      </w:r>
    </w:p>
    <w:p>
      <w:pPr>
        <w:spacing w:after="160" w:line="276"/>
      </w:pPr>
      <w:r>
        <w:t xml:space="preserve">Ranked roughly by how much of the pipeline's output rides on getting the number right, and by how checkable each one currently is.</w:t>
      </w:r>
    </w:p>
    <w:p>
      <w:pPr>
        <w:pStyle w:val="Heading2"/>
        <w:spacing w:after="150" w:before="300"/>
      </w:pPr>
      <w:r>
        <w:rPr>
          <w:b/>
          <w:bCs/>
          <w:color w:val="2E5395"/>
        </w:rPr>
        <w:t xml:space="preserve">Highest priority — scale-defining constants with no external reference</w:t>
      </w:r>
    </w:p>
    <w:p>
      <w:pPr>
        <w:pStyle w:val="ListParagraph"/>
        <w:numPr>
          <w:ilvl w:val="0"/>
          <w:numId w:val="1"/>
        </w:numPr>
        <w:spacing w:after="80" w:line="276"/>
      </w:pPr>
      <w:r>
        <w:t xml:space="preserve">SWELLING.typical_high / SWELLING.divisor — anchor and scale for the entire swelling score; custom ratio with no outside literature to check against.</w:t>
      </w:r>
    </w:p>
    <w:p>
      <w:pPr>
        <w:pStyle w:val="ListParagraph"/>
        <w:numPr>
          <w:ilvl w:val="0"/>
          <w:numId w:val="1"/>
        </w:numPr>
        <w:spacing w:after="80" w:line="276"/>
      </w:pPr>
      <w:r>
        <w:t xml:space="preserve">MOUTH_SHAPE.mar_typical_low / mar_typical_high — defines this pipeline's own (inverted-from-literature) Mouth Aspect Ratio scale; effectively unvalidated as declared.</w:t>
      </w:r>
    </w:p>
    <w:p>
      <w:pPr>
        <w:pStyle w:val="ListParagraph"/>
        <w:numPr>
          <w:ilvl w:val="0"/>
          <w:numId w:val="1"/>
        </w:numPr>
        <w:spacing w:after="80" w:line="276"/>
      </w:pPr>
      <w:r>
        <w:t xml:space="preserve">SYMMETRY.divisor — defines the entire symmetry score range and assumes a linear asymmetry-to-score relationship.</w:t>
      </w:r>
    </w:p>
    <w:p>
      <w:pPr>
        <w:pStyle w:val="ListParagraph"/>
        <w:numPr>
          <w:ilvl w:val="0"/>
          <w:numId w:val="1"/>
        </w:numPr>
        <w:spacing w:after="80" w:line="276"/>
      </w:pPr>
      <w:r>
        <w:t xml:space="preserve">EAR.closed / EAR.open — has real published literature to compare against (Soukupá &amp; Čech), but that literature doesn't transfer cleanly from dlib's 68-point landmarks to this pipeline's MediaPipe 478-point mesh. The fix here is measurement, not substitution: pull raw EAR values on known-open/known-closed frames through this pipeline's own landmark indices.</w:t>
      </w:r>
    </w:p>
    <w:p>
      <w:pPr>
        <w:pStyle w:val="ListParagraph"/>
        <w:numPr>
          <w:ilvl w:val="0"/>
          <w:numId w:val="1"/>
        </w:numPr>
        <w:spacing w:after="80" w:line="276"/>
      </w:pPr>
      <w:r>
        <w:t xml:space="preserve">MOUTH_SHAPE.asymmetry_divisor / curvature_divisor — scale factors for landmark-derived geometry with no external reference.</w:t>
      </w:r>
    </w:p>
    <w:p>
      <w:pPr>
        <w:pStyle w:val="Heading2"/>
        <w:spacing w:after="150" w:before="300"/>
      </w:pPr>
      <w:r>
        <w:rPr>
          <w:b/>
          <w:bCs/>
          <w:color w:val="2E5395"/>
        </w:rPr>
        <w:t xml:space="preserve">Medium priority — shapes a score range but with more real-world grounding, or lower usage volume</w:t>
      </w:r>
    </w:p>
    <w:p>
      <w:pPr>
        <w:pStyle w:val="ListParagraph"/>
        <w:numPr>
          <w:ilvl w:val="0"/>
          <w:numId w:val="1"/>
        </w:numPr>
        <w:spacing w:after="80" w:line="276"/>
      </w:pPr>
      <w:r>
        <w:t xml:space="preserve">TEXTURE.divisor, LIP_DRYNESS.divisor, LIP_COLOR_CONSISTENCY.divisor — Laplacian/std-based scale factors; the underlying metrics are well-established, but the specific divisor chosen to map them onto 0–100 is not.</w:t>
      </w:r>
    </w:p>
    <w:p>
      <w:pPr>
        <w:pStyle w:val="ListParagraph"/>
        <w:numPr>
          <w:ilvl w:val="0"/>
          <w:numId w:val="1"/>
        </w:numPr>
        <w:spacing w:after="80" w:line="276"/>
      </w:pPr>
      <w:r>
        <w:t xml:space="preserve">DARK_CIRCLE.divisor, ACNE.spot_count_for_max_score — scale-defining but narrower in effect than the highest-priority group.</w:t>
      </w:r>
    </w:p>
    <w:p>
      <w:pPr>
        <w:pStyle w:val="ListParagraph"/>
        <w:numPr>
          <w:ilvl w:val="0"/>
          <w:numId w:val="1"/>
        </w:numPr>
        <w:spacing w:after="80" w:line="276"/>
      </w:pPr>
      <w:r>
        <w:t xml:space="preserve">LIP_PALLOR.divisor — doing double duty as scale factor and an implicit “100 = max saturation” assumption; worth confirming that assumption before trusting the value.</w:t>
      </w:r>
    </w:p>
    <w:p>
      <w:pPr>
        <w:pStyle w:val="ListParagraph"/>
        <w:numPr>
          <w:ilvl w:val="0"/>
          <w:numId w:val="1"/>
        </w:numPr>
        <w:spacing w:after="80" w:line="276"/>
      </w:pPr>
      <w:r>
        <w:t xml:space="preserve">The full set of Phase 4 SeverityBand label cut points — individually low-impact (each just shifts one label boundary), but collectively worth checking against the real score distribution once available. SKIN_NOSE_REDNESS_SEVERITY specifically is worth a deliberate decision, since it currently just mirrors the cheek band despite Phase 4's stated reasoning for treating nose separately.</w:t>
      </w:r>
    </w:p>
    <w:p>
      <w:pPr>
        <w:pStyle w:val="Heading2"/>
        <w:spacing w:after="150" w:before="300"/>
      </w:pPr>
      <w:r>
        <w:rPr>
          <w:b/>
          <w:bCs/>
          <w:color w:val="2E5395"/>
        </w:rPr>
        <w:t xml:space="preserve">Lower priority — inherited from, or matched to, another constant</w:t>
      </w:r>
    </w:p>
    <w:p>
      <w:pPr>
        <w:pStyle w:val="ListParagraph"/>
        <w:numPr>
          <w:ilvl w:val="0"/>
          <w:numId w:val="1"/>
        </w:numPr>
        <w:spacing w:after="80" w:line="276"/>
      </w:pPr>
      <w:r>
        <w:t xml:space="preserve">REGION_LIGHTING.min_mean_luminance — deliberately matched to AlignmentCheck.MIN_BRIGHTNESS; revisit that constant first if this one seems wrong.</w:t>
      </w:r>
    </w:p>
    <w:p>
      <w:pPr>
        <w:pStyle w:val="ListParagraph"/>
        <w:numPr>
          <w:ilvl w:val="0"/>
          <w:numId w:val="1"/>
        </w:numPr>
        <w:spacing w:after="80" w:line="276"/>
      </w:pPr>
      <w:r>
        <w:t xml:space="preserve">EYE_REDNESS.divisor / SKIN_REDNESS.divisor — deliberately matched to each other so the two scores share a scale.</w:t>
      </w:r>
    </w:p>
    <w:p>
      <w:pPr>
        <w:pStyle w:val="ListParagraph"/>
        <w:numPr>
          <w:ilvl w:val="0"/>
          <w:numId w:val="1"/>
        </w:numPr>
        <w:spacing w:after="80" w:line="276"/>
      </w:pPr>
      <w:r>
        <w:t xml:space="preserve">LIP_TONE_GATE bounds, CALIBRATION.min_pixels — inherit their basis from SKIN_TONE_GATE, which is itself the best-supported group in the file.</w:t>
      </w:r>
    </w:p>
    <w:p>
      <w:pPr>
        <w:pStyle w:val="Heading2"/>
        <w:spacing w:after="150" w:before="300"/>
      </w:pPr>
      <w:r>
        <w:rPr>
          <w:b/>
          <w:bCs/>
          <w:color w:val="2E5395"/>
        </w:rPr>
        <w:t xml:space="preserve">Lowest priority — fallback-only or already reasonably supported</w:t>
      </w:r>
    </w:p>
    <w:p>
      <w:pPr>
        <w:pStyle w:val="ListParagraph"/>
        <w:numPr>
          <w:ilvl w:val="0"/>
          <w:numId w:val="1"/>
        </w:numPr>
        <w:spacing w:after="80" w:line="276"/>
      </w:pPr>
      <w:r>
        <w:t xml:space="preserve">DARK_CIRCLE.bright_luminance, SKIN_REDNESS.baseline_rel_r — only used when no per-person CalibrationBaseline exists (e.g. direct unit-test calls); real captures bypass these entirely.</w:t>
      </w:r>
    </w:p>
    <w:p>
      <w:pPr>
        <w:pStyle w:val="ListParagraph"/>
        <w:numPr>
          <w:ilvl w:val="0"/>
          <w:numId w:val="1"/>
        </w:numPr>
        <w:spacing w:after="80" w:line="276"/>
      </w:pPr>
      <w:r>
        <w:t xml:space="preserve">SKIN_TONE_GATE / LIP_TONE_GATE Cr/Cb bounds — the one group in the file with a documented calibration process (gradient-sampled, checked against five out-of-class materials). Still worth stress-testing against a wider range of tones and lighting from the real dataset, but it does not need to be first in line.</w:t>
      </w:r>
    </w:p>
    <w:p>
      <w:pPr>
        <w:pStyle w:val="Heading2"/>
        <w:spacing w:after="150" w:before="300"/>
      </w:pPr>
      <w:r>
        <w:rPr>
          <w:b/>
          <w:bCs/>
          <w:color w:val="2E5395"/>
        </w:rPr>
        <w:t xml:space="preserve">Cross-cutting concern</w:t>
      </w:r>
    </w:p>
    <w:p>
      <w:pPr>
        <w:spacing w:after="160" w:line="276"/>
      </w:pPr>
      <w:r>
        <w:t xml:space="preserve">248 passing tests almost certainly assert exact score outputs tied to today's constants. Recalibrating any of the above against real data means updating whatever tests hardcode the current expected scores alongside the constant itself — otherwise a green test suite after recalibration is testing the wrong thing, not confirming correctness.</w:t>
      </w:r>
    </w:p>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2026-08-09T17:24:44.097Z</dcterms:created>
  <dcterms:modified xsi:type="dcterms:W3CDTF">2026-08-09T17:24:44.098Z</dcterms:modified>
</cp:coreProperties>
</file>

<file path=docProps/custom.xml><?xml version="1.0" encoding="utf-8"?>
<Properties xmlns="http://schemas.openxmlformats.org/officeDocument/2006/custom-properties" xmlns:vt="http://schemas.openxmlformats.org/officeDocument/2006/docPropsVTypes"/>
</file>