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200"/>
        <w:jc w:val="center"/>
      </w:pPr>
      <w:r>
        <w:rPr>
          <w:rFonts w:ascii="Arial" w:cs="Arial" w:eastAsia="Arial" w:hAnsi="Arial"/>
          <w:b/>
          <w:bCs/>
          <w:color w:val="1B3A5C"/>
          <w:sz w:val="56"/>
          <w:szCs w:val="56"/>
        </w:rPr>
        <w:t xml:space="preserve">Trading Copilot Platform</w:t>
      </w:r>
    </w:p>
    <w:p>
      <w:pPr>
        <w:spacing w:before="0" w:after="100"/>
        <w:jc w:val="center"/>
      </w:pPr>
      <w:r>
        <w:rPr>
          <w:rFonts w:ascii="Arial" w:cs="Arial" w:eastAsia="Arial" w:hAnsi="Arial"/>
          <w:color w:val="2563A8"/>
          <w:sz w:val="28"/>
          <w:szCs w:val="28"/>
        </w:rPr>
        <w:t xml:space="preserve">Technical Specification — Version 1.0</w:t>
      </w:r>
    </w:p>
    <w:p>
      <w:pPr>
        <w:spacing w:before="0" w:after="600"/>
        <w:jc w:val="center"/>
      </w:pPr>
      <w:r>
        <w:rPr>
          <w:rFonts w:ascii="Arial" w:cs="Arial" w:eastAsia="Arial" w:hAnsi="Arial"/>
          <w:color w:val="888888"/>
          <w:sz w:val="22"/>
          <w:szCs w:val="22"/>
        </w:rPr>
        <w:t xml:space="preserve">February 2026</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Borders>
              <w:top w:val="none" w:color="FFFFFF" w:sz="0"/>
              <w:left w:val="none" w:color="FFFFFF" w:sz="0"/>
              <w:bottom w:val="none" w:color="FFFFFF" w:sz="0"/>
              <w:right w:val="none" w:color="FFFFFF" w:sz="0"/>
            </w:tcBorders>
            <w:shd w:fill="2563A8"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Private Platform</w:t>
            </w:r>
          </w:p>
        </w:tc>
        <w:tc>
          <w:tcPr>
            <w:tcBorders>
              <w:top w:val="none" w:color="FFFFFF" w:sz="0"/>
              <w:left w:val="none" w:color="FFFFFF" w:sz="0"/>
              <w:bottom w:val="none" w:color="FFFFFF" w:sz="0"/>
              <w:right w:val="none" w:color="FFFFFF" w:sz="0"/>
            </w:tcBorders>
            <w:shd w:fill="1B3A5C" w:val="clear"/>
            <w:tcMar>
              <w:top w:type="dxa" w:w="60"/>
              <w:left w:type="dxa" w:w="120"/>
              <w:bottom w:type="dxa" w:w="60"/>
              <w:right w:type="dxa" w:w="120"/>
            </w:tcMar>
          </w:tcPr>
          <w:p>
            <w:pPr>
              <w:jc w:val="center"/>
            </w:pPr>
            <w:r>
              <w:rPr>
                <w:rFonts w:ascii="Arial" w:cs="Arial" w:eastAsia="Arial" w:hAnsi="Arial"/>
                <w:b/>
                <w:bCs/>
                <w:color w:val="FFFFFF"/>
                <w:sz w:val="18"/>
                <w:szCs w:val="18"/>
              </w:rPr>
              <w:t xml:space="preserve">v1 Scope</w:t>
            </w:r>
          </w:p>
        </w:tc>
      </w:tr>
    </w:tbl>
    <w:p>
      <w:pPr>
        <w:spacing w:before="800" w:after="0"/>
      </w:pPr>
    </w:p>
    <w:p>
      <w:pPr>
        <w:pBdr>
          <w:bottom w:val="single" w:color="2563A8" w:sz="4" w:space="1"/>
        </w:pBdr>
        <w:spacing w:before="200" w:after="200"/>
      </w:pPr>
    </w:p>
    <w:p>
      <w:pPr>
        <w:pStyle w:val="Heading1"/>
        <w:spacing w:before="400" w:after="200"/>
      </w:pPr>
      <w:r>
        <w:rPr>
          <w:rFonts w:ascii="Arial" w:cs="Arial" w:eastAsia="Arial" w:hAnsi="Arial"/>
          <w:b/>
          <w:bCs/>
          <w:color w:val="1B3A5C"/>
          <w:sz w:val="36"/>
          <w:szCs w:val="36"/>
        </w:rPr>
        <w:t xml:space="preserve">1. Overview</w:t>
      </w:r>
    </w:p>
    <w:p>
      <w:pPr>
        <w:spacing w:before="80" w:after="80"/>
      </w:pPr>
      <w:r>
        <w:rPr>
          <w:rFonts w:ascii="Arial" w:cs="Arial" w:eastAsia="Arial" w:hAnsi="Arial"/>
          <w:sz w:val="22"/>
          <w:szCs w:val="22"/>
        </w:rPr>
        <w:t xml:space="preserve">The Trading Copilot is a private web platform for swing and position traders. It takes a stock ticker and synthesizes technical analysis signals into a plain-English narrative — like an experienced trader explaining their read on a chart. The goal is to act as a structured co-pilot that helps traders avoid missing key signals, not as an oracle that makes decisions for them.</w:t>
      </w:r>
    </w:p>
    <w:p>
      <w:pPr>
        <w:spacing w:before="80" w:after="80"/>
      </w:pPr>
      <w:r>
        <w:rPr>
          <w:rFonts w:ascii="Arial" w:cs="Arial" w:eastAsia="Arial" w:hAnsi="Arial"/>
          <w:sz w:val="22"/>
          <w:szCs w:val="22"/>
        </w:rPr>
        <w:t xml:space="preserve">This document covers the complete technical specification for Version 1, including architecture, data layer, TA engine, AI synthesis, alerting, frontend, and build order.</w:t>
      </w:r>
    </w:p>
    <w:p>
      <w:pPr>
        <w:spacing w:before="120" w:after="80"/>
      </w:pPr>
      <w:r>
        <w:rPr>
          <w:rFonts w:ascii="Arial" w:cs="Arial" w:eastAsia="Arial" w:hAnsi="Arial"/>
          <w:b/>
          <w:bCs/>
          <w:sz w:val="22"/>
          <w:szCs w:val="22"/>
        </w:rPr>
        <w:t xml:space="preserve">Key design principles:</w:t>
      </w:r>
    </w:p>
    <w:p>
      <w:pPr>
        <w:pStyle w:val="ListParagraph"/>
        <w:numPr>
          <w:ilvl w:val="0"/>
          <w:numId w:val="2"/>
        </w:numPr>
        <w:spacing w:before="60" w:after="60"/>
      </w:pPr>
      <w:r>
        <w:rPr>
          <w:rFonts w:ascii="Arial" w:cs="Arial" w:eastAsia="Arial" w:hAnsi="Arial"/>
          <w:b w:val="false"/>
          <w:bCs w:val="false"/>
          <w:sz w:val="22"/>
          <w:szCs w:val="22"/>
        </w:rPr>
        <w:t xml:space="preserve">Copilot, not oracle — surfaces signals and reasoning, never just a verdict</w:t>
      </w:r>
    </w:p>
    <w:p>
      <w:pPr>
        <w:pStyle w:val="ListParagraph"/>
        <w:numPr>
          <w:ilvl w:val="0"/>
          <w:numId w:val="2"/>
        </w:numPr>
        <w:spacing w:before="60" w:after="60"/>
      </w:pPr>
      <w:r>
        <w:rPr>
          <w:rFonts w:ascii="Arial" w:cs="Arial" w:eastAsia="Arial" w:hAnsi="Arial"/>
          <w:b w:val="false"/>
          <w:bCs w:val="false"/>
          <w:sz w:val="22"/>
          <w:szCs w:val="22"/>
        </w:rPr>
        <w:t xml:space="preserve">Learning-oriented — every output teaches the user something about TA</w:t>
      </w:r>
    </w:p>
    <w:p>
      <w:pPr>
        <w:pStyle w:val="ListParagraph"/>
        <w:numPr>
          <w:ilvl w:val="0"/>
          <w:numId w:val="2"/>
        </w:numPr>
        <w:spacing w:before="60" w:after="60"/>
      </w:pPr>
      <w:r>
        <w:rPr>
          <w:rFonts w:ascii="Arial" w:cs="Arial" w:eastAsia="Arial" w:hAnsi="Arial"/>
          <w:b w:val="false"/>
          <w:bCs w:val="false"/>
          <w:sz w:val="22"/>
          <w:szCs w:val="22"/>
        </w:rPr>
        <w:t xml:space="preserve">Private and lean — built for a small group, no public-facing complexity</w:t>
      </w:r>
    </w:p>
    <w:p>
      <w:pPr>
        <w:pStyle w:val="ListParagraph"/>
        <w:numPr>
          <w:ilvl w:val="0"/>
          <w:numId w:val="2"/>
        </w:numPr>
        <w:spacing w:before="60" w:after="60"/>
      </w:pPr>
      <w:r>
        <w:rPr>
          <w:rFonts w:ascii="Arial" w:cs="Arial" w:eastAsia="Arial" w:hAnsi="Arial"/>
          <w:b w:val="false"/>
          <w:bCs w:val="false"/>
          <w:sz w:val="22"/>
          <w:szCs w:val="22"/>
        </w:rPr>
        <w:t xml:space="preserve">Modular — each component is independently buildable and testable</w:t>
      </w:r>
    </w:p>
    <w:p>
      <w:pPr>
        <w:pBdr>
          <w:bottom w:val="single" w:color="2563A8" w:sz="4" w:space="1"/>
        </w:pBdr>
        <w:spacing w:before="200" w:after="200"/>
      </w:pPr>
    </w:p>
    <w:p>
      <w:pPr>
        <w:pStyle w:val="Heading1"/>
        <w:spacing w:before="400" w:after="200"/>
      </w:pPr>
      <w:r>
        <w:rPr>
          <w:rFonts w:ascii="Arial" w:cs="Arial" w:eastAsia="Arial" w:hAnsi="Arial"/>
          <w:b/>
          <w:bCs/>
          <w:color w:val="1B3A5C"/>
          <w:sz w:val="36"/>
          <w:szCs w:val="36"/>
        </w:rPr>
        <w:t xml:space="preserve">2. Tech Stack &amp; Hosting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Backend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 + FastAPI</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SQLite (v1), PostgreSQL-ready for v2</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Data Source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yfinance (free, unofficial Yahoo Finance wrapper)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TA Library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pandas-ta (covers all required indicators)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AI Layer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 Claude API (claude-sonnet)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Frontend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 TradingView Lightweight Charts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Scheduler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GitHub Actions (cron, triggers Render endpoint nightly)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Backend 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 — Free Tier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Frontend Hosting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Vercel — Free Tier</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Auth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JWT — hardcoded users for v1</w:t>
            </w:r>
          </w:p>
        </w:tc>
      </w:tr>
    </w:tbl>
    <w:p>
      <w:pPr>
        <w:spacing w:before="160" w:after="80"/>
      </w:pPr>
      <w:r>
        <w:rPr>
          <w:rFonts w:ascii="Arial" w:cs="Arial" w:eastAsia="Arial" w:hAnsi="Arial"/>
          <w:b/>
          <w:bCs/>
          <w:sz w:val="22"/>
          <w:szCs w:val="22"/>
        </w:rPr>
        <w:t xml:space="preserve">Estimated monthly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Render (Free Tier)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Vercel (Free Tier)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yfinance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Claude API</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~$3–8/month based on usage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Total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~$3–8/month</w:t>
            </w:r>
          </w:p>
        </w:tc>
      </w:tr>
    </w:tbl>
    <w:p>
      <w:pPr>
        <w:pBdr>
          <w:bottom w:val="single" w:color="2563A8" w:sz="4" w:space="1"/>
        </w:pBdr>
        <w:spacing w:before="200" w:after="200"/>
      </w:pPr>
    </w:p>
    <w:p>
      <w:pPr>
        <w:pStyle w:val="Heading1"/>
        <w:spacing w:before="400" w:after="200"/>
      </w:pPr>
      <w:r>
        <w:rPr>
          <w:rFonts w:ascii="Arial" w:cs="Arial" w:eastAsia="Arial" w:hAnsi="Arial"/>
          <w:b/>
          <w:bCs/>
          <w:color w:val="1B3A5C"/>
          <w:sz w:val="36"/>
          <w:szCs w:val="36"/>
        </w:rPr>
        <w:t xml:space="preserve">3. Data Layer</w:t>
      </w:r>
    </w:p>
    <w:p>
      <w:pPr>
        <w:pStyle w:val="Heading2"/>
        <w:spacing w:before="300" w:after="150"/>
      </w:pPr>
      <w:r>
        <w:rPr>
          <w:rFonts w:ascii="Arial" w:cs="Arial" w:eastAsia="Arial" w:hAnsi="Arial"/>
          <w:b/>
          <w:bCs/>
          <w:color w:val="2563A8"/>
          <w:sz w:val="28"/>
          <w:szCs w:val="28"/>
        </w:rPr>
        <w:t xml:space="preserve">3.1 Data Source</w:t>
      </w:r>
    </w:p>
    <w:p>
      <w:pPr>
        <w:spacing w:before="80" w:after="80"/>
      </w:pPr>
      <w:r>
        <w:rPr>
          <w:rFonts w:ascii="Arial" w:cs="Arial" w:eastAsia="Arial" w:hAnsi="Arial"/>
          <w:sz w:val="22"/>
          <w:szCs w:val="22"/>
        </w:rPr>
        <w:t xml:space="preserve">yfinance is used for all market data in v1. It provides OHLCV (Open, High, Low, Close, Volume) data for US stocks and ETFs going back decades. Adjusted closing prices must be used for all TA calculations to account for stock splits and dividends.</w:t>
      </w:r>
    </w:p>
    <w:p>
      <w:pPr>
        <w:pStyle w:val="Heading2"/>
        <w:spacing w:before="300" w:after="150"/>
      </w:pPr>
      <w:r>
        <w:rPr>
          <w:rFonts w:ascii="Arial" w:cs="Arial" w:eastAsia="Arial" w:hAnsi="Arial"/>
          <w:b/>
          <w:bCs/>
          <w:color w:val="2563A8"/>
          <w:sz w:val="28"/>
          <w:szCs w:val="28"/>
        </w:rPr>
        <w:t xml:space="preserve">3.2 What Data is Stored</w:t>
      </w:r>
    </w:p>
    <w:p>
      <w:pPr>
        <w:spacing w:before="80" w:after="80"/>
      </w:pPr>
      <w:r>
        <w:rPr>
          <w:rFonts w:ascii="Arial" w:cs="Arial" w:eastAsia="Arial" w:hAnsi="Arial"/>
          <w:sz w:val="22"/>
          <w:szCs w:val="22"/>
        </w:rPr>
        <w:t xml:space="preserve">Two core database tables power the entire platform:</w:t>
      </w:r>
    </w:p>
    <w:p>
      <w:pPr>
        <w:pStyle w:val="ListParagraph"/>
        <w:numPr>
          <w:ilvl w:val="0"/>
          <w:numId w:val="2"/>
        </w:numPr>
        <w:spacing w:before="60" w:after="60"/>
      </w:pPr>
      <w:r>
        <w:rPr>
          <w:rFonts w:ascii="Arial" w:cs="Arial" w:eastAsia="Arial" w:hAnsi="Arial"/>
          <w:b w:val="false"/>
          <w:bCs w:val="false"/>
          <w:sz w:val="22"/>
          <w:szCs w:val="22"/>
        </w:rPr>
        <w:t xml:space="preserve">tickers — symbol, company name, sector, market cap, last_updated timestamp</w:t>
      </w:r>
    </w:p>
    <w:p>
      <w:pPr>
        <w:pStyle w:val="ListParagraph"/>
        <w:numPr>
          <w:ilvl w:val="0"/>
          <w:numId w:val="2"/>
        </w:numPr>
        <w:spacing w:before="60" w:after="60"/>
      </w:pPr>
      <w:r>
        <w:rPr>
          <w:rFonts w:ascii="Arial" w:cs="Arial" w:eastAsia="Arial" w:hAnsi="Arial"/>
          <w:b w:val="false"/>
          <w:bCs w:val="false"/>
          <w:sz w:val="22"/>
          <w:szCs w:val="22"/>
        </w:rPr>
        <w:t xml:space="preserve">price_history — ticker symbol, date, open, high, low, adj_close, volume</w:t>
      </w:r>
    </w:p>
    <w:p>
      <w:pPr>
        <w:spacing w:before="80" w:after="80"/>
      </w:pPr>
      <w:r>
        <w:rPr>
          <w:rFonts w:ascii="Arial" w:cs="Arial" w:eastAsia="Arial" w:hAnsi="Arial"/>
          <w:sz w:val="22"/>
          <w:szCs w:val="22"/>
        </w:rPr>
        <w:t xml:space="preserve">A minimum of 2 years of daily OHLCV history is required per ticker. The 200-day SMA alone needs 200 rows — without sufficient history, indicators will be incorrect or missing.</w:t>
      </w:r>
    </w:p>
    <w:p>
      <w:pPr>
        <w:pStyle w:val="Heading2"/>
        <w:spacing w:before="300" w:after="150"/>
      </w:pPr>
      <w:r>
        <w:rPr>
          <w:rFonts w:ascii="Arial" w:cs="Arial" w:eastAsia="Arial" w:hAnsi="Arial"/>
          <w:b/>
          <w:bCs/>
          <w:color w:val="2563A8"/>
          <w:sz w:val="28"/>
          <w:szCs w:val="28"/>
        </w:rPr>
        <w:t xml:space="preserve">3.3 Data Flow</w:t>
      </w:r>
    </w:p>
    <w:p>
      <w:pPr>
        <w:spacing w:before="80" w:after="80"/>
      </w:pPr>
      <w:r>
        <w:rPr>
          <w:rFonts w:ascii="Arial" w:cs="Arial" w:eastAsia="Arial" w:hAnsi="Arial"/>
          <w:sz w:val="22"/>
          <w:szCs w:val="22"/>
        </w:rPr>
        <w:t xml:space="preserve">The platform never hits the external API on every user request. Data is fetched once, stored in SQLite, and served from the database. Staleness is checked on each request — if data is older than 1 day (and market is closed), it is refreshed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User searches ticker</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FastAPI checks SQLite for existing data</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Data fresh?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 directly from database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Data stale or missing?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Fetch from yfinance → store → serve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Nightly (via GitHub Actions)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Refresh all watchlisted tickers automatically</w:t>
            </w:r>
          </w:p>
        </w:tc>
      </w:tr>
    </w:tbl>
    <w:p>
      <w:pPr>
        <w:pStyle w:val="Heading2"/>
        <w:spacing w:before="300" w:after="150"/>
      </w:pPr>
      <w:r>
        <w:rPr>
          <w:rFonts w:ascii="Arial" w:cs="Arial" w:eastAsia="Arial" w:hAnsi="Arial"/>
          <w:b/>
          <w:bCs/>
          <w:color w:val="2563A8"/>
          <w:sz w:val="28"/>
          <w:szCs w:val="28"/>
        </w:rPr>
        <w:t xml:space="preserve">3.4 Nightly Scheduler</w:t>
      </w:r>
    </w:p>
    <w:p>
      <w:pPr>
        <w:spacing w:before="80" w:after="80"/>
      </w:pPr>
      <w:r>
        <w:rPr>
          <w:rFonts w:ascii="Arial" w:cs="Arial" w:eastAsia="Arial" w:hAnsi="Arial"/>
          <w:sz w:val="22"/>
          <w:szCs w:val="22"/>
        </w:rPr>
        <w:t xml:space="preserve">Because Render's free tier spins down after inactivity, a persistent internal scheduler is not reliable. Instead, GitHub Actions is used as an external cron trigger.</w:t>
      </w:r>
    </w:p>
    <w:p>
      <w:pPr>
        <w:pStyle w:val="ListParagraph"/>
        <w:numPr>
          <w:ilvl w:val="0"/>
          <w:numId w:val="2"/>
        </w:numPr>
        <w:spacing w:before="60" w:after="60"/>
      </w:pPr>
      <w:r>
        <w:rPr>
          <w:rFonts w:ascii="Arial" w:cs="Arial" w:eastAsia="Arial" w:hAnsi="Arial"/>
          <w:b w:val="false"/>
          <w:bCs w:val="false"/>
          <w:sz w:val="22"/>
          <w:szCs w:val="22"/>
        </w:rPr>
        <w:t xml:space="preserve">A GitHub Actions workflow runs every weekday at 5:00 PM ET (after market close)</w:t>
      </w:r>
    </w:p>
    <w:p>
      <w:pPr>
        <w:pStyle w:val="ListParagraph"/>
        <w:numPr>
          <w:ilvl w:val="0"/>
          <w:numId w:val="2"/>
        </w:numPr>
        <w:spacing w:before="60" w:after="60"/>
      </w:pPr>
      <w:r>
        <w:rPr>
          <w:rFonts w:ascii="Arial" w:cs="Arial" w:eastAsia="Arial" w:hAnsi="Arial"/>
          <w:b w:val="false"/>
          <w:bCs w:val="false"/>
          <w:sz w:val="22"/>
          <w:szCs w:val="22"/>
        </w:rPr>
        <w:t xml:space="preserve">It makes an authenticated HTTP request to a protected FastAPI endpoint: POST /internal/refresh-watchlist</w:t>
      </w:r>
    </w:p>
    <w:p>
      <w:pPr>
        <w:pStyle w:val="ListParagraph"/>
        <w:numPr>
          <w:ilvl w:val="0"/>
          <w:numId w:val="2"/>
        </w:numPr>
        <w:spacing w:before="60" w:after="60"/>
      </w:pPr>
      <w:r>
        <w:rPr>
          <w:rFonts w:ascii="Arial" w:cs="Arial" w:eastAsia="Arial" w:hAnsi="Arial"/>
          <w:b w:val="false"/>
          <w:bCs w:val="false"/>
          <w:sz w:val="22"/>
          <w:szCs w:val="22"/>
        </w:rPr>
        <w:t xml:space="preserve">The endpoint wakes the Render server, loops through all watchlisted tickers, fetches fresh data, runs the TA engine, and generates digest notifications for each user</w:t>
      </w:r>
    </w:p>
    <w:p>
      <w:pPr>
        <w:pStyle w:val="ListParagraph"/>
        <w:numPr>
          <w:ilvl w:val="0"/>
          <w:numId w:val="2"/>
        </w:numPr>
        <w:spacing w:before="60" w:after="60"/>
      </w:pPr>
      <w:r>
        <w:rPr>
          <w:rFonts w:ascii="Arial" w:cs="Arial" w:eastAsia="Arial" w:hAnsi="Arial"/>
          <w:b w:val="false"/>
          <w:bCs w:val="false"/>
          <w:sz w:val="22"/>
          <w:szCs w:val="22"/>
        </w:rPr>
        <w:t xml:space="preserve">This approach is free, reliable, and requires no changes when upgrading to Render's paid tier later</w:t>
      </w:r>
    </w:p>
    <w:p>
      <w:pPr>
        <w:pBdr>
          <w:bottom w:val="single" w:color="2563A8" w:sz="4" w:space="1"/>
        </w:pBdr>
        <w:spacing w:before="200" w:after="200"/>
      </w:pPr>
    </w:p>
    <w:p>
      <w:pPr>
        <w:pStyle w:val="Heading1"/>
        <w:spacing w:before="400" w:after="200"/>
      </w:pPr>
      <w:r>
        <w:rPr>
          <w:rFonts w:ascii="Arial" w:cs="Arial" w:eastAsia="Arial" w:hAnsi="Arial"/>
          <w:b/>
          <w:bCs/>
          <w:color w:val="1B3A5C"/>
          <w:sz w:val="36"/>
          <w:szCs w:val="36"/>
        </w:rPr>
        <w:t xml:space="preserve">4. Technical Analysis Engine</w:t>
      </w:r>
    </w:p>
    <w:p>
      <w:pPr>
        <w:spacing w:before="80" w:after="80"/>
      </w:pPr>
      <w:r>
        <w:rPr>
          <w:rFonts w:ascii="Arial" w:cs="Arial" w:eastAsia="Arial" w:hAnsi="Arial"/>
          <w:sz w:val="22"/>
          <w:szCs w:val="22"/>
        </w:rPr>
        <w:t xml:space="preserve">The TA engine is a pure Python module that takes a ticker's OHLCV dataframe and returns a structured JSON signal object. It has no knowledge of users, the database, or the AI layer — it only does math.</w:t>
      </w:r>
    </w:p>
    <w:p>
      <w:pPr>
        <w:spacing w:before="80" w:after="80"/>
      </w:pPr>
      <w:r>
        <w:rPr>
          <w:rFonts w:ascii="Arial" w:cs="Arial" w:eastAsia="Arial" w:hAnsi="Arial"/>
          <w:sz w:val="22"/>
          <w:szCs w:val="22"/>
        </w:rPr>
        <w:t xml:space="preserve">All indicators are computed using pandas-ta. The engine is organized into five signal categories:</w:t>
      </w:r>
    </w:p>
    <w:p>
      <w:pPr>
        <w:pStyle w:val="Heading2"/>
        <w:spacing w:before="300" w:after="150"/>
      </w:pPr>
      <w:r>
        <w:rPr>
          <w:rFonts w:ascii="Arial" w:cs="Arial" w:eastAsia="Arial" w:hAnsi="Arial"/>
          <w:b/>
          <w:bCs/>
          <w:color w:val="2563A8"/>
          <w:sz w:val="28"/>
          <w:szCs w:val="28"/>
        </w:rPr>
        <w:t xml:space="preserve">4.1 Trend Indicators</w:t>
      </w:r>
    </w:p>
    <w:p>
      <w:pPr>
        <w:pStyle w:val="ListParagraph"/>
        <w:numPr>
          <w:ilvl w:val="0"/>
          <w:numId w:val="2"/>
        </w:numPr>
        <w:spacing w:before="60" w:after="60"/>
      </w:pPr>
      <w:r>
        <w:rPr>
          <w:rFonts w:ascii="Arial" w:cs="Arial" w:eastAsia="Arial" w:hAnsi="Arial"/>
          <w:b w:val="false"/>
          <w:bCs w:val="false"/>
          <w:sz w:val="22"/>
          <w:szCs w:val="22"/>
        </w:rPr>
        <w:t xml:space="preserve">SMA 20, 50, 200 — short, medium, and long-term moving averages</w:t>
      </w:r>
    </w:p>
    <w:p>
      <w:pPr>
        <w:pStyle w:val="ListParagraph"/>
        <w:numPr>
          <w:ilvl w:val="0"/>
          <w:numId w:val="2"/>
        </w:numPr>
        <w:spacing w:before="60" w:after="60"/>
      </w:pPr>
      <w:r>
        <w:rPr>
          <w:rFonts w:ascii="Arial" w:cs="Arial" w:eastAsia="Arial" w:hAnsi="Arial"/>
          <w:b w:val="false"/>
          <w:bCs w:val="false"/>
          <w:sz w:val="22"/>
          <w:szCs w:val="22"/>
        </w:rPr>
        <w:t xml:space="preserve">EMA 9, 21 — faster-responding exponential MAs, preferred for swing trading entries</w:t>
      </w:r>
    </w:p>
    <w:p>
      <w:pPr>
        <w:pStyle w:val="ListParagraph"/>
        <w:numPr>
          <w:ilvl w:val="0"/>
          <w:numId w:val="2"/>
        </w:numPr>
        <w:spacing w:before="60" w:after="60"/>
      </w:pPr>
      <w:r>
        <w:rPr>
          <w:rFonts w:ascii="Arial" w:cs="Arial" w:eastAsia="Arial" w:hAnsi="Arial"/>
          <w:b w:val="false"/>
          <w:bCs w:val="false"/>
          <w:sz w:val="22"/>
          <w:szCs w:val="22"/>
        </w:rPr>
        <w:t xml:space="preserve">Golden Cross / Death Cross — 50 SMA crossing above/below 200 SMA, one of the most-watched signals</w:t>
      </w:r>
    </w:p>
    <w:p>
      <w:pPr>
        <w:pStyle w:val="ListParagraph"/>
        <w:numPr>
          <w:ilvl w:val="0"/>
          <w:numId w:val="2"/>
        </w:numPr>
        <w:spacing w:before="60" w:after="60"/>
      </w:pPr>
      <w:r>
        <w:rPr>
          <w:rFonts w:ascii="Arial" w:cs="Arial" w:eastAsia="Arial" w:hAnsi="Arial"/>
          <w:b w:val="false"/>
          <w:bCs w:val="false"/>
          <w:sz w:val="22"/>
          <w:szCs w:val="22"/>
        </w:rPr>
        <w:t xml:space="preserve">Price position relative to each MA — above or below, and by what percentage</w:t>
      </w:r>
    </w:p>
    <w:p>
      <w:pPr>
        <w:pStyle w:val="Heading2"/>
        <w:spacing w:before="300" w:after="150"/>
      </w:pPr>
      <w:r>
        <w:rPr>
          <w:rFonts w:ascii="Arial" w:cs="Arial" w:eastAsia="Arial" w:hAnsi="Arial"/>
          <w:b/>
          <w:bCs/>
          <w:color w:val="2563A8"/>
          <w:sz w:val="28"/>
          <w:szCs w:val="28"/>
        </w:rPr>
        <w:t xml:space="preserve">4.2 Momentum Indicators</w:t>
      </w:r>
    </w:p>
    <w:p>
      <w:pPr>
        <w:pStyle w:val="ListParagraph"/>
        <w:numPr>
          <w:ilvl w:val="0"/>
          <w:numId w:val="2"/>
        </w:numPr>
        <w:spacing w:before="60" w:after="60"/>
      </w:pPr>
      <w:r>
        <w:rPr>
          <w:rFonts w:ascii="Arial" w:cs="Arial" w:eastAsia="Arial" w:hAnsi="Arial"/>
          <w:b w:val="false"/>
          <w:bCs w:val="false"/>
          <w:sz w:val="22"/>
          <w:szCs w:val="22"/>
        </w:rPr>
        <w:t xml:space="preserve">RSI (14 period) — overbought above 70, oversold below 30, neutral between 40–60</w:t>
      </w:r>
    </w:p>
    <w:p>
      <w:pPr>
        <w:pStyle w:val="ListParagraph"/>
        <w:numPr>
          <w:ilvl w:val="0"/>
          <w:numId w:val="2"/>
        </w:numPr>
        <w:spacing w:before="60" w:after="60"/>
      </w:pPr>
      <w:r>
        <w:rPr>
          <w:rFonts w:ascii="Arial" w:cs="Arial" w:eastAsia="Arial" w:hAnsi="Arial"/>
          <w:b w:val="false"/>
          <w:bCs w:val="false"/>
          <w:sz w:val="22"/>
          <w:szCs w:val="22"/>
        </w:rPr>
        <w:t xml:space="preserve">MACD — line, signal line, histogram; crossovers flagged as bullish or bearish</w:t>
      </w:r>
    </w:p>
    <w:p>
      <w:pPr>
        <w:pStyle w:val="ListParagraph"/>
        <w:numPr>
          <w:ilvl w:val="0"/>
          <w:numId w:val="2"/>
        </w:numPr>
        <w:spacing w:before="60" w:after="60"/>
      </w:pPr>
      <w:r>
        <w:rPr>
          <w:rFonts w:ascii="Arial" w:cs="Arial" w:eastAsia="Arial" w:hAnsi="Arial"/>
          <w:b w:val="false"/>
          <w:bCs w:val="false"/>
          <w:sz w:val="22"/>
          <w:szCs w:val="22"/>
        </w:rPr>
        <w:t xml:space="preserve">Stochastic Oscillator — price position relative to its recent range</w:t>
      </w:r>
    </w:p>
    <w:p>
      <w:pPr>
        <w:pStyle w:val="Heading2"/>
        <w:spacing w:before="300" w:after="150"/>
      </w:pPr>
      <w:r>
        <w:rPr>
          <w:rFonts w:ascii="Arial" w:cs="Arial" w:eastAsia="Arial" w:hAnsi="Arial"/>
          <w:b/>
          <w:bCs/>
          <w:color w:val="2563A8"/>
          <w:sz w:val="28"/>
          <w:szCs w:val="28"/>
        </w:rPr>
        <w:t xml:space="preserve">4.3 Volatility Indicators</w:t>
      </w:r>
    </w:p>
    <w:p>
      <w:pPr>
        <w:pStyle w:val="ListParagraph"/>
        <w:numPr>
          <w:ilvl w:val="0"/>
          <w:numId w:val="2"/>
        </w:numPr>
        <w:spacing w:before="60" w:after="60"/>
      </w:pPr>
      <w:r>
        <w:rPr>
          <w:rFonts w:ascii="Arial" w:cs="Arial" w:eastAsia="Arial" w:hAnsi="Arial"/>
          <w:b w:val="false"/>
          <w:bCs w:val="false"/>
          <w:sz w:val="22"/>
          <w:szCs w:val="22"/>
        </w:rPr>
        <w:t xml:space="preserve">Bollinger Bands — upper, middle (SMA 20), lower bands; price position flagged</w:t>
      </w:r>
    </w:p>
    <w:p>
      <w:pPr>
        <w:pStyle w:val="ListParagraph"/>
        <w:numPr>
          <w:ilvl w:val="0"/>
          <w:numId w:val="2"/>
        </w:numPr>
        <w:spacing w:before="60" w:after="60"/>
      </w:pPr>
      <w:r>
        <w:rPr>
          <w:rFonts w:ascii="Arial" w:cs="Arial" w:eastAsia="Arial" w:hAnsi="Arial"/>
          <w:b w:val="false"/>
          <w:bCs w:val="false"/>
          <w:sz w:val="22"/>
          <w:szCs w:val="22"/>
        </w:rPr>
        <w:t xml:space="preserve">BB Squeeze — bands narrowing signals low volatility; often precedes a large move</w:t>
      </w:r>
    </w:p>
    <w:p>
      <w:pPr>
        <w:pStyle w:val="ListParagraph"/>
        <w:numPr>
          <w:ilvl w:val="0"/>
          <w:numId w:val="2"/>
        </w:numPr>
        <w:spacing w:before="60" w:after="60"/>
      </w:pPr>
      <w:r>
        <w:rPr>
          <w:rFonts w:ascii="Arial" w:cs="Arial" w:eastAsia="Arial" w:hAnsi="Arial"/>
          <w:b w:val="false"/>
          <w:bCs w:val="false"/>
          <w:sz w:val="22"/>
          <w:szCs w:val="22"/>
        </w:rPr>
        <w:t xml:space="preserve">ATR (Average True Range) — daily movement range; used for stop loss sizing guidance</w:t>
      </w:r>
    </w:p>
    <w:p>
      <w:pPr>
        <w:pStyle w:val="Heading2"/>
        <w:spacing w:before="300" w:after="150"/>
      </w:pPr>
      <w:r>
        <w:rPr>
          <w:rFonts w:ascii="Arial" w:cs="Arial" w:eastAsia="Arial" w:hAnsi="Arial"/>
          <w:b/>
          <w:bCs/>
          <w:color w:val="2563A8"/>
          <w:sz w:val="28"/>
          <w:szCs w:val="28"/>
        </w:rPr>
        <w:t xml:space="preserve">4.4 Volume Indicators</w:t>
      </w:r>
    </w:p>
    <w:p>
      <w:pPr>
        <w:pStyle w:val="ListParagraph"/>
        <w:numPr>
          <w:ilvl w:val="0"/>
          <w:numId w:val="2"/>
        </w:numPr>
        <w:spacing w:before="60" w:after="60"/>
      </w:pPr>
      <w:r>
        <w:rPr>
          <w:rFonts w:ascii="Arial" w:cs="Arial" w:eastAsia="Arial" w:hAnsi="Arial"/>
          <w:b w:val="false"/>
          <w:bCs w:val="false"/>
          <w:sz w:val="22"/>
          <w:szCs w:val="22"/>
        </w:rPr>
        <w:t xml:space="preserve">Volume vs 20-day average — is today's volume unusual? Expressed as a multiplier (e.g. 1.4x)</w:t>
      </w:r>
    </w:p>
    <w:p>
      <w:pPr>
        <w:pStyle w:val="ListParagraph"/>
        <w:numPr>
          <w:ilvl w:val="0"/>
          <w:numId w:val="2"/>
        </w:numPr>
        <w:spacing w:before="60" w:after="60"/>
      </w:pPr>
      <w:r>
        <w:rPr>
          <w:rFonts w:ascii="Arial" w:cs="Arial" w:eastAsia="Arial" w:hAnsi="Arial"/>
          <w:b w:val="false"/>
          <w:bCs w:val="false"/>
          <w:sz w:val="22"/>
          <w:szCs w:val="22"/>
        </w:rPr>
        <w:t xml:space="preserve">OBV (On Balance Volume) — tracks cumulative buying vs selling pressure</w:t>
      </w:r>
    </w:p>
    <w:p>
      <w:pPr>
        <w:pStyle w:val="Heading2"/>
        <w:spacing w:before="300" w:after="150"/>
      </w:pPr>
      <w:r>
        <w:rPr>
          <w:rFonts w:ascii="Arial" w:cs="Arial" w:eastAsia="Arial" w:hAnsi="Arial"/>
          <w:b/>
          <w:bCs/>
          <w:color w:val="2563A8"/>
          <w:sz w:val="28"/>
          <w:szCs w:val="28"/>
        </w:rPr>
        <w:t xml:space="preserve">4.5 Support &amp; Resistance</w:t>
      </w:r>
    </w:p>
    <w:p>
      <w:pPr>
        <w:pStyle w:val="ListParagraph"/>
        <w:numPr>
          <w:ilvl w:val="0"/>
          <w:numId w:val="2"/>
        </w:numPr>
        <w:spacing w:before="60" w:after="60"/>
      </w:pPr>
      <w:r>
        <w:rPr>
          <w:rFonts w:ascii="Arial" w:cs="Arial" w:eastAsia="Arial" w:hAnsi="Arial"/>
          <w:b w:val="false"/>
          <w:bCs w:val="false"/>
          <w:sz w:val="22"/>
          <w:szCs w:val="22"/>
        </w:rPr>
        <w:t xml:space="preserve">52-week high and low</w:t>
      </w:r>
    </w:p>
    <w:p>
      <w:pPr>
        <w:pStyle w:val="ListParagraph"/>
        <w:numPr>
          <w:ilvl w:val="0"/>
          <w:numId w:val="2"/>
        </w:numPr>
        <w:spacing w:before="60" w:after="60"/>
      </w:pPr>
      <w:r>
        <w:rPr>
          <w:rFonts w:ascii="Arial" w:cs="Arial" w:eastAsia="Arial" w:hAnsi="Arial"/>
          <w:b w:val="false"/>
          <w:bCs w:val="false"/>
          <w:sz w:val="22"/>
          <w:szCs w:val="22"/>
        </w:rPr>
        <w:t xml:space="preserve">Recent swing highs and lows (trailing 3 months)</w:t>
      </w:r>
    </w:p>
    <w:p>
      <w:pPr>
        <w:pStyle w:val="ListParagraph"/>
        <w:numPr>
          <w:ilvl w:val="0"/>
          <w:numId w:val="2"/>
        </w:numPr>
        <w:spacing w:before="60" w:after="60"/>
      </w:pPr>
      <w:r>
        <w:rPr>
          <w:rFonts w:ascii="Arial" w:cs="Arial" w:eastAsia="Arial" w:hAnsi="Arial"/>
          <w:b w:val="false"/>
          <w:bCs w:val="false"/>
          <w:sz w:val="22"/>
          <w:szCs w:val="22"/>
        </w:rPr>
        <w:t xml:space="preserve">Distance from current price to nearest support and resistance levels</w:t>
      </w:r>
    </w:p>
    <w:p>
      <w:pPr>
        <w:pStyle w:val="Heading2"/>
        <w:spacing w:before="300" w:after="150"/>
      </w:pPr>
      <w:r>
        <w:rPr>
          <w:rFonts w:ascii="Arial" w:cs="Arial" w:eastAsia="Arial" w:hAnsi="Arial"/>
          <w:b/>
          <w:bCs/>
          <w:color w:val="2563A8"/>
          <w:sz w:val="28"/>
          <w:szCs w:val="28"/>
        </w:rPr>
        <w:t xml:space="preserve">4.6 Candlestick Patterns</w:t>
      </w:r>
    </w:p>
    <w:p>
      <w:pPr>
        <w:spacing w:before="80" w:after="80"/>
      </w:pPr>
      <w:r>
        <w:rPr>
          <w:rFonts w:ascii="Arial" w:cs="Arial" w:eastAsia="Arial" w:hAnsi="Arial"/>
          <w:sz w:val="22"/>
          <w:szCs w:val="22"/>
        </w:rPr>
        <w:t xml:space="preserve">Detected using pandas-ta. Patterns are only flagged as significant when they appear at or near key support/resistance levels — random patterns in the middle of price action are ignored.</w:t>
      </w:r>
    </w:p>
    <w:p>
      <w:pPr>
        <w:pStyle w:val="ListParagraph"/>
        <w:numPr>
          <w:ilvl w:val="0"/>
          <w:numId w:val="2"/>
        </w:numPr>
        <w:spacing w:before="60" w:after="60"/>
      </w:pPr>
      <w:r>
        <w:rPr>
          <w:rFonts w:ascii="Arial" w:cs="Arial" w:eastAsia="Arial" w:hAnsi="Arial"/>
          <w:b w:val="false"/>
          <w:bCs w:val="false"/>
          <w:sz w:val="22"/>
          <w:szCs w:val="22"/>
        </w:rPr>
        <w:t xml:space="preserve">Reversal: Hammer, Shooting Star, Bullish/Bearish Engulfing, Doji, Morning Star, Evening Star</w:t>
      </w:r>
    </w:p>
    <w:p>
      <w:pPr>
        <w:pStyle w:val="ListParagraph"/>
        <w:numPr>
          <w:ilvl w:val="0"/>
          <w:numId w:val="2"/>
        </w:numPr>
        <w:spacing w:before="60" w:after="60"/>
      </w:pPr>
      <w:r>
        <w:rPr>
          <w:rFonts w:ascii="Arial" w:cs="Arial" w:eastAsia="Arial" w:hAnsi="Arial"/>
          <w:b w:val="false"/>
          <w:bCs w:val="false"/>
          <w:sz w:val="22"/>
          <w:szCs w:val="22"/>
        </w:rPr>
        <w:t xml:space="preserve">Continuation: Three White Soldiers, Three Black Crows, Rising/Falling Three Methods</w:t>
      </w:r>
    </w:p>
    <w:p>
      <w:pPr>
        <w:pStyle w:val="Heading2"/>
        <w:spacing w:before="300" w:after="150"/>
      </w:pPr>
      <w:r>
        <w:rPr>
          <w:rFonts w:ascii="Arial" w:cs="Arial" w:eastAsia="Arial" w:hAnsi="Arial"/>
          <w:b/>
          <w:bCs/>
          <w:color w:val="2563A8"/>
          <w:sz w:val="28"/>
          <w:szCs w:val="28"/>
        </w:rPr>
        <w:t xml:space="preserve">4.7 Signal Output Format</w:t>
      </w:r>
    </w:p>
    <w:p>
      <w:pPr>
        <w:spacing w:before="80" w:after="80"/>
      </w:pPr>
      <w:r>
        <w:rPr>
          <w:rFonts w:ascii="Arial" w:cs="Arial" w:eastAsia="Arial" w:hAnsi="Arial"/>
          <w:sz w:val="22"/>
          <w:szCs w:val="22"/>
        </w:rPr>
        <w:t xml:space="preserve">The engine returns a structured JSON object for each ticker. This is fed directly into the AI synthesis layer. Example structure:</w:t>
      </w:r>
    </w:p>
    <w:p>
      <w:pPr>
        <w:pBdr>
          <w:left w:val="single" w:color="2563A8" w:sz="12" w:space="4"/>
        </w:pBdr>
        <w:shd w:fill="F4F6F9" w:val="clear"/>
        <w:spacing w:before="120" w:after="120"/>
      </w:pPr>
      <w:r>
        <w:rPr>
          <w:rFonts w:ascii="Courier New" w:cs="Courier New" w:eastAsia="Courier New" w:hAnsi="Courier New"/>
          <w:color w:val="1B3A5C"/>
          <w:sz w:val="18"/>
          <w:szCs w:val="18"/>
        </w:rPr>
        <w:t xml:space="preserve">{ "ticker": "AAPL", "price": 178.42,</w:t>
      </w:r>
      <w:r>
        <w:rPr>
          <w:rFonts w:ascii="Courier New" w:cs="Courier New" w:eastAsia="Courier New" w:hAnsi="Courier New"/>
          <w:color w:val="1B3A5C"/>
          <w:sz w:val="18"/>
          <w:szCs w:val="18"/>
        </w:rPr>
        <w:br/>
        <w:t xml:space="preserve">  "trend": { "sma_200": 155.80, "price_vs_sma200": "above", "signal": "BULLISH" },</w:t>
      </w:r>
      <w:r>
        <w:rPr>
          <w:rFonts w:ascii="Courier New" w:cs="Courier New" w:eastAsia="Courier New" w:hAnsi="Courier New"/>
          <w:color w:val="1B3A5C"/>
          <w:sz w:val="18"/>
          <w:szCs w:val="18"/>
        </w:rPr>
        <w:br/>
        <w:t xml:space="preserve">  "momentum": { "rsi": 58, "rsi_signal": "NEUTRAL", "macd": "bullish_crossover" },</w:t>
      </w:r>
      <w:r>
        <w:rPr>
          <w:rFonts w:ascii="Courier New" w:cs="Courier New" w:eastAsia="Courier New" w:hAnsi="Courier New"/>
          <w:color w:val="1B3A5C"/>
          <w:sz w:val="18"/>
          <w:szCs w:val="18"/>
        </w:rPr>
        <w:br/>
        <w:t xml:space="preserve">  "candlestick": { "pattern": "Bullish Engulfing", "at_support": true } }</w:t>
      </w:r>
    </w:p>
    <w:p>
      <w:pPr>
        <w:pBdr>
          <w:bottom w:val="single" w:color="2563A8" w:sz="4" w:space="1"/>
        </w:pBdr>
        <w:spacing w:before="200" w:after="200"/>
      </w:pPr>
    </w:p>
    <w:p>
      <w:pPr>
        <w:pStyle w:val="Heading1"/>
        <w:spacing w:before="400" w:after="200"/>
      </w:pPr>
      <w:r>
        <w:rPr>
          <w:rFonts w:ascii="Arial" w:cs="Arial" w:eastAsia="Arial" w:hAnsi="Arial"/>
          <w:b/>
          <w:bCs/>
          <w:color w:val="1B3A5C"/>
          <w:sz w:val="36"/>
          <w:szCs w:val="36"/>
        </w:rPr>
        <w:t xml:space="preserve">5. AI Synthesis Layer</w:t>
      </w:r>
    </w:p>
    <w:p>
      <w:pPr>
        <w:pStyle w:val="Heading2"/>
        <w:spacing w:before="300" w:after="150"/>
      </w:pPr>
      <w:r>
        <w:rPr>
          <w:rFonts w:ascii="Arial" w:cs="Arial" w:eastAsia="Arial" w:hAnsi="Arial"/>
          <w:b/>
          <w:bCs/>
          <w:color w:val="2563A8"/>
          <w:sz w:val="28"/>
          <w:szCs w:val="28"/>
        </w:rPr>
        <w:t xml:space="preserve">5.1 How it Works</w:t>
      </w:r>
    </w:p>
    <w:p>
      <w:pPr>
        <w:spacing w:before="80" w:after="80"/>
      </w:pPr>
      <w:r>
        <w:rPr>
          <w:rFonts w:ascii="Arial" w:cs="Arial" w:eastAsia="Arial" w:hAnsi="Arial"/>
          <w:sz w:val="22"/>
          <w:szCs w:val="22"/>
        </w:rPr>
        <w:t xml:space="preserve">The AI layer takes the structured signal JSON from the TA engine and feeds it into the Claude API with a carefully designed system prompt. Claude returns a 3–4 paragraph plain-English narrative — like an experienced trader talking through the chart. This is streamed to the frontend token by token.</w:t>
      </w:r>
    </w:p>
    <w:p>
      <w:pPr>
        <w:pStyle w:val="Heading2"/>
        <w:spacing w:before="300" w:after="150"/>
      </w:pPr>
      <w:r>
        <w:rPr>
          <w:rFonts w:ascii="Arial" w:cs="Arial" w:eastAsia="Arial" w:hAnsi="Arial"/>
          <w:b/>
          <w:bCs/>
          <w:color w:val="2563A8"/>
          <w:sz w:val="28"/>
          <w:szCs w:val="28"/>
        </w:rPr>
        <w:t xml:space="preserve">5.2 System Prompt Design</w:t>
      </w:r>
    </w:p>
    <w:p>
      <w:pPr>
        <w:spacing w:before="80" w:after="80"/>
      </w:pPr>
      <w:r>
        <w:rPr>
          <w:rFonts w:ascii="Arial" w:cs="Arial" w:eastAsia="Arial" w:hAnsi="Arial"/>
          <w:sz w:val="22"/>
          <w:szCs w:val="22"/>
        </w:rPr>
        <w:t xml:space="preserve">The system prompt is the most critical piece of the AI layer. The core instruction set:</w:t>
      </w:r>
    </w:p>
    <w:p>
      <w:pPr>
        <w:pStyle w:val="ListParagraph"/>
        <w:numPr>
          <w:ilvl w:val="0"/>
          <w:numId w:val="2"/>
        </w:numPr>
        <w:spacing w:before="60" w:after="60"/>
      </w:pPr>
      <w:r>
        <w:rPr>
          <w:rFonts w:ascii="Arial" w:cs="Arial" w:eastAsia="Arial" w:hAnsi="Arial"/>
          <w:b w:val="false"/>
          <w:bCs w:val="false"/>
          <w:sz w:val="22"/>
          <w:szCs w:val="22"/>
        </w:rPr>
        <w:t xml:space="preserve">Act as an experienced swing trader explaining a chart to a retail investor friend</w:t>
      </w:r>
    </w:p>
    <w:p>
      <w:pPr>
        <w:pStyle w:val="ListParagraph"/>
        <w:numPr>
          <w:ilvl w:val="0"/>
          <w:numId w:val="2"/>
        </w:numPr>
        <w:spacing w:before="60" w:after="60"/>
      </w:pPr>
      <w:r>
        <w:rPr>
          <w:rFonts w:ascii="Arial" w:cs="Arial" w:eastAsia="Arial" w:hAnsi="Arial"/>
          <w:b w:val="false"/>
          <w:bCs w:val="false"/>
          <w:sz w:val="22"/>
          <w:szCs w:val="22"/>
        </w:rPr>
        <w:t xml:space="preserve">Lead with the overall bias (bullish / bearish / neutral) and the single most important reason</w:t>
      </w:r>
    </w:p>
    <w:p>
      <w:pPr>
        <w:pStyle w:val="ListParagraph"/>
        <w:numPr>
          <w:ilvl w:val="0"/>
          <w:numId w:val="2"/>
        </w:numPr>
        <w:spacing w:before="60" w:after="60"/>
      </w:pPr>
      <w:r>
        <w:rPr>
          <w:rFonts w:ascii="Arial" w:cs="Arial" w:eastAsia="Arial" w:hAnsi="Arial"/>
          <w:b w:val="false"/>
          <w:bCs w:val="false"/>
          <w:sz w:val="22"/>
          <w:szCs w:val="22"/>
        </w:rPr>
        <w:t xml:space="preserve">Explain the 2–3 most meaningful signals driving the view — not all of them</w:t>
      </w:r>
    </w:p>
    <w:p>
      <w:pPr>
        <w:pStyle w:val="ListParagraph"/>
        <w:numPr>
          <w:ilvl w:val="0"/>
          <w:numId w:val="2"/>
        </w:numPr>
        <w:spacing w:before="60" w:after="60"/>
      </w:pPr>
      <w:r>
        <w:rPr>
          <w:rFonts w:ascii="Arial" w:cs="Arial" w:eastAsia="Arial" w:hAnsi="Arial"/>
          <w:b w:val="false"/>
          <w:bCs w:val="false"/>
          <w:sz w:val="22"/>
          <w:szCs w:val="22"/>
        </w:rPr>
        <w:t xml:space="preserve">Flag conflicting signals honestly — never oversell a setup</w:t>
      </w:r>
    </w:p>
    <w:p>
      <w:pPr>
        <w:pStyle w:val="ListParagraph"/>
        <w:numPr>
          <w:ilvl w:val="0"/>
          <w:numId w:val="2"/>
        </w:numPr>
        <w:spacing w:before="60" w:after="60"/>
      </w:pPr>
      <w:r>
        <w:rPr>
          <w:rFonts w:ascii="Arial" w:cs="Arial" w:eastAsia="Arial" w:hAnsi="Arial"/>
          <w:b w:val="false"/>
          <w:bCs w:val="false"/>
          <w:sz w:val="22"/>
          <w:szCs w:val="22"/>
        </w:rPr>
        <w:t xml:space="preserve">Suggest entry zone, stop loss, and target only when signals are strongly confluent</w:t>
      </w:r>
    </w:p>
    <w:p>
      <w:pPr>
        <w:pStyle w:val="ListParagraph"/>
        <w:numPr>
          <w:ilvl w:val="0"/>
          <w:numId w:val="2"/>
        </w:numPr>
        <w:spacing w:before="60" w:after="60"/>
      </w:pPr>
      <w:r>
        <w:rPr>
          <w:rFonts w:ascii="Arial" w:cs="Arial" w:eastAsia="Arial" w:hAnsi="Arial"/>
          <w:b w:val="false"/>
          <w:bCs w:val="false"/>
          <w:sz w:val="22"/>
          <w:szCs w:val="22"/>
        </w:rPr>
        <w:t xml:space="preserve">Keep it to 3–4 paragraphs, conversational not robotic</w:t>
      </w:r>
    </w:p>
    <w:p>
      <w:pPr>
        <w:pStyle w:val="ListParagraph"/>
        <w:numPr>
          <w:ilvl w:val="0"/>
          <w:numId w:val="2"/>
        </w:numPr>
        <w:spacing w:before="60" w:after="60"/>
      </w:pPr>
      <w:r>
        <w:rPr>
          <w:rFonts w:ascii="Arial" w:cs="Arial" w:eastAsia="Arial" w:hAnsi="Arial"/>
          <w:b w:val="false"/>
          <w:bCs w:val="false"/>
          <w:sz w:val="22"/>
          <w:szCs w:val="22"/>
        </w:rPr>
        <w:t xml:space="preserve">Weave in a natural disclaimer — not a bolted-on legal notice</w:t>
      </w:r>
    </w:p>
    <w:p>
      <w:pPr>
        <w:pStyle w:val="ListParagraph"/>
        <w:numPr>
          <w:ilvl w:val="0"/>
          <w:numId w:val="2"/>
        </w:numPr>
        <w:spacing w:before="60" w:after="60"/>
      </w:pPr>
      <w:r>
        <w:rPr>
          <w:rFonts w:ascii="Arial" w:cs="Arial" w:eastAsia="Arial" w:hAnsi="Arial"/>
          <w:b w:val="false"/>
          <w:bCs w:val="false"/>
          <w:sz w:val="22"/>
          <w:szCs w:val="22"/>
        </w:rPr>
        <w:t xml:space="preserve">Never invent data — only reason from the JSON provided</w:t>
      </w:r>
    </w:p>
    <w:p>
      <w:pPr>
        <w:pStyle w:val="Heading2"/>
        <w:spacing w:before="300" w:after="150"/>
      </w:pPr>
      <w:r>
        <w:rPr>
          <w:rFonts w:ascii="Arial" w:cs="Arial" w:eastAsia="Arial" w:hAnsi="Arial"/>
          <w:b/>
          <w:bCs/>
          <w:color w:val="2563A8"/>
          <w:sz w:val="28"/>
          <w:szCs w:val="28"/>
        </w:rPr>
        <w:t xml:space="preserve">5.3 Implementation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Model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claude-sonnet (latest)</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Temperature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 — consistent, grounded analysis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Max tokens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600 — enough for 3–4 paragraphs</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Streaming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Yes — stream response to frontend via SSE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Caching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narrative per ticker per day — don't re-call API if already generated today</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Storage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both the raw signal JSON and the narrative in the database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Estimated cost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~$0.002–0.005 per analysis call</w:t>
            </w:r>
          </w:p>
        </w:tc>
      </w:tr>
    </w:tbl>
    <w:p>
      <w:pPr>
        <w:pBdr>
          <w:bottom w:val="single" w:color="2563A8" w:sz="4" w:space="1"/>
        </w:pBdr>
        <w:spacing w:before="200" w:after="200"/>
      </w:pPr>
    </w:p>
    <w:p>
      <w:pPr>
        <w:pStyle w:val="Heading1"/>
        <w:spacing w:before="400" w:after="200"/>
      </w:pPr>
      <w:r>
        <w:rPr>
          <w:rFonts w:ascii="Arial" w:cs="Arial" w:eastAsia="Arial" w:hAnsi="Arial"/>
          <w:b/>
          <w:bCs/>
          <w:color w:val="1B3A5C"/>
          <w:sz w:val="36"/>
          <w:szCs w:val="36"/>
        </w:rPr>
        <w:t xml:space="preserve">6. Watchlist &amp; Alerting</w:t>
      </w:r>
    </w:p>
    <w:p>
      <w:pPr>
        <w:pStyle w:val="Heading2"/>
        <w:spacing w:before="300" w:after="150"/>
      </w:pPr>
      <w:r>
        <w:rPr>
          <w:rFonts w:ascii="Arial" w:cs="Arial" w:eastAsia="Arial" w:hAnsi="Arial"/>
          <w:b/>
          <w:bCs/>
          <w:color w:val="2563A8"/>
          <w:sz w:val="28"/>
          <w:szCs w:val="28"/>
        </w:rPr>
        <w:t xml:space="preserve">6.1 Watchlist</w:t>
      </w:r>
    </w:p>
    <w:p>
      <w:pPr>
        <w:spacing w:before="80" w:after="80"/>
      </w:pPr>
      <w:r>
        <w:rPr>
          <w:rFonts w:ascii="Arial" w:cs="Arial" w:eastAsia="Arial" w:hAnsi="Arial"/>
          <w:sz w:val="22"/>
          <w:szCs w:val="22"/>
        </w:rPr>
        <w:t xml:space="preserve">Each user has a personal watchlist. Tickers on the watchlist are automatically refreshed and analyzed nightly — no manual trigger needed. The watchlist dashboard shows each ticker's current price, day change, and overall signal badge (Bullish / Neutral / Bearish).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watchlists table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ticker_symbol, date_added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notifications table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user_id, content (JSON), created_at, is_read</w:t>
            </w:r>
          </w:p>
        </w:tc>
      </w:tr>
    </w:tbl>
    <w:p>
      <w:pPr>
        <w:pStyle w:val="Heading2"/>
        <w:spacing w:before="300" w:after="150"/>
      </w:pPr>
      <w:r>
        <w:rPr>
          <w:rFonts w:ascii="Arial" w:cs="Arial" w:eastAsia="Arial" w:hAnsi="Arial"/>
          <w:b/>
          <w:bCs/>
          <w:color w:val="2563A8"/>
          <w:sz w:val="28"/>
          <w:szCs w:val="28"/>
        </w:rPr>
        <w:t xml:space="preserve">6.2 Daily Digest (v1 Alerting)</w:t>
      </w:r>
    </w:p>
    <w:p>
      <w:pPr>
        <w:spacing w:before="80" w:after="80"/>
      </w:pPr>
      <w:r>
        <w:rPr>
          <w:rFonts w:ascii="Arial" w:cs="Arial" w:eastAsia="Arial" w:hAnsi="Arial"/>
          <w:sz w:val="22"/>
          <w:szCs w:val="22"/>
        </w:rPr>
        <w:t xml:space="preserve">After the nightly refresh, a digest notification is generated for each user summarizing what happened on their watchlist. In-app only for v1. Email and SMS delivery are v2 additions.</w:t>
      </w:r>
    </w:p>
    <w:p>
      <w:pPr>
        <w:spacing w:before="80" w:after="80"/>
      </w:pPr>
      <w:r>
        <w:rPr>
          <w:rFonts w:ascii="Arial" w:cs="Arial" w:eastAsia="Arial" w:hAnsi="Arial"/>
          <w:sz w:val="22"/>
          <w:szCs w:val="22"/>
        </w:rPr>
        <w:t xml:space="preserve">Example digest entry:</w:t>
      </w:r>
    </w:p>
    <w:p>
      <w:pPr>
        <w:pBdr>
          <w:left w:val="single" w:color="2563A8" w:sz="12" w:space="4"/>
        </w:pBdr>
        <w:shd w:fill="F4F6F9" w:val="clear"/>
        <w:spacing w:before="120" w:after="120"/>
      </w:pPr>
      <w:r>
        <w:rPr>
          <w:rFonts w:ascii="Arial" w:cs="Arial" w:eastAsia="Arial" w:hAnsi="Arial"/>
          <w:b/>
          <w:bCs/>
          <w:color w:val="1B3A5C"/>
          <w:sz w:val="20"/>
          <w:szCs w:val="20"/>
        </w:rPr>
        <w:t xml:space="preserve">Your Daily Digest — Feb 20</w:t>
      </w:r>
      <w:r>
        <w:rPr>
          <w:rFonts w:ascii="Arial" w:cs="Arial" w:eastAsia="Arial" w:hAnsi="Arial"/>
          <w:sz w:val="20"/>
          <w:szCs w:val="20"/>
        </w:rPr>
        <w:br/>
        <w:t xml:space="preserve">AAPL → Bullish Engulfing at support. RSI cooling from overbought.</w:t>
      </w:r>
      <w:r>
        <w:rPr>
          <w:rFonts w:ascii="Arial" w:cs="Arial" w:eastAsia="Arial" w:hAnsi="Arial"/>
          <w:sz w:val="20"/>
          <w:szCs w:val="20"/>
        </w:rPr>
        <w:br/>
        <w:t xml:space="preserve">NVDA → Strong uptrend. Approaching resistance at $875.</w:t>
      </w:r>
      <w:r>
        <w:rPr>
          <w:rFonts w:ascii="Arial" w:cs="Arial" w:eastAsia="Arial" w:hAnsi="Arial"/>
          <w:sz w:val="20"/>
          <w:szCs w:val="20"/>
        </w:rPr>
        <w:br/>
        <w:t xml:space="preserve">SPY  → Death cross forming. Bearish signal on daily chart.</w:t>
      </w:r>
    </w:p>
    <w:p>
      <w:pPr>
        <w:pBdr>
          <w:bottom w:val="single" w:color="2563A8" w:sz="4" w:space="1"/>
        </w:pBdr>
        <w:spacing w:before="200" w:after="200"/>
      </w:pPr>
    </w:p>
    <w:p>
      <w:pPr>
        <w:pStyle w:val="Heading1"/>
        <w:spacing w:before="400" w:after="200"/>
      </w:pPr>
      <w:r>
        <w:rPr>
          <w:rFonts w:ascii="Arial" w:cs="Arial" w:eastAsia="Arial" w:hAnsi="Arial"/>
          <w:b/>
          <w:bCs/>
          <w:color w:val="1B3A5C"/>
          <w:sz w:val="36"/>
          <w:szCs w:val="36"/>
        </w:rPr>
        <w:t xml:space="preserve">7. Frontend</w:t>
      </w:r>
    </w:p>
    <w:p>
      <w:pPr>
        <w:pStyle w:val="Heading2"/>
        <w:spacing w:before="300" w:after="150"/>
      </w:pPr>
      <w:r>
        <w:rPr>
          <w:rFonts w:ascii="Arial" w:cs="Arial" w:eastAsia="Arial" w:hAnsi="Arial"/>
          <w:b/>
          <w:bCs/>
          <w:color w:val="2563A8"/>
          <w:sz w:val="28"/>
          <w:szCs w:val="28"/>
        </w:rPr>
        <w:t xml:space="preserve">7.1 Tech</w:t>
      </w:r>
    </w:p>
    <w:p>
      <w:pPr>
        <w:spacing w:before="80" w:after="80"/>
      </w:pPr>
      <w:r>
        <w:rPr>
          <w:rFonts w:ascii="Arial" w:cs="Arial" w:eastAsia="Arial" w:hAnsi="Arial"/>
          <w:sz w:val="22"/>
          <w:szCs w:val="22"/>
        </w:rPr>
        <w:t xml:space="preserve">React app hosted on Vercel. Charting via TradingView Lightweight Charts (free, open source, professional quality). Auth via JWT stored in memory/localStorage.</w:t>
      </w:r>
    </w:p>
    <w:p>
      <w:pPr>
        <w:pStyle w:val="Heading2"/>
        <w:spacing w:before="300" w:after="150"/>
      </w:pPr>
      <w:r>
        <w:rPr>
          <w:rFonts w:ascii="Arial" w:cs="Arial" w:eastAsia="Arial" w:hAnsi="Arial"/>
          <w:b/>
          <w:bCs/>
          <w:color w:val="2563A8"/>
          <w:sz w:val="28"/>
          <w:szCs w:val="28"/>
        </w:rPr>
        <w:t xml:space="preserve">7.2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Login Page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Username/password form. JWT stored on success. Redirects to dashboard.</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Watchlist Dashboard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of watchlisted tickers with price, day change %, signal badge, and unread notification count. Clicking a ticker opens the analysis page.</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Ticker Analysis Page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screen. Top: price chart with MAs and Bollinger Bands overlaid, volume bars below. Middle: streaming copilot narrative. Bottom: signal summary panel (RSI value, MACD status, pattern detected, key levels). Search bar at top, Add to Watchlist button.</w:t>
            </w:r>
          </w:p>
        </w:tc>
      </w:tr>
      <w:tr>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sz w:val="20"/>
                <w:szCs w:val="20"/>
              </w:rPr>
              <w:t xml:space="preserve">Notifications Panel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Slide-out panel showing daily digests in reverse order. Each digest is expandable. Clicking a ticker in a digest navigates to its analysis page.</w:t>
            </w:r>
          </w:p>
        </w:tc>
      </w:tr>
    </w:tbl>
    <w:p>
      <w:pPr>
        <w:pBdr>
          <w:bottom w:val="single" w:color="2563A8" w:sz="4" w:space="1"/>
        </w:pBdr>
        <w:spacing w:before="200" w:after="200"/>
      </w:pPr>
    </w:p>
    <w:p>
      <w:pPr>
        <w:pStyle w:val="Heading1"/>
        <w:spacing w:before="400" w:after="200"/>
      </w:pPr>
      <w:r>
        <w:rPr>
          <w:rFonts w:ascii="Arial" w:cs="Arial" w:eastAsia="Arial" w:hAnsi="Arial"/>
          <w:b/>
          <w:bCs/>
          <w:color w:val="1B3A5C"/>
          <w:sz w:val="36"/>
          <w:szCs w:val="36"/>
        </w:rPr>
        <w:t xml:space="preserve">8. Authentication</w:t>
      </w:r>
    </w:p>
    <w:p>
      <w:pPr>
        <w:spacing w:before="80" w:after="80"/>
      </w:pPr>
      <w:r>
        <w:rPr>
          <w:rFonts w:ascii="Arial" w:cs="Arial" w:eastAsia="Arial" w:hAnsi="Arial"/>
          <w:sz w:val="22"/>
          <w:szCs w:val="22"/>
        </w:rPr>
        <w:t xml:space="preserve">Simple JWT-based auth. For v1, users are hardcoded in a config file — no registration flow, no password reset, no email verification. This is intentional to keep scope lean for a private tool.</w:t>
      </w:r>
    </w:p>
    <w:p>
      <w:pPr>
        <w:pStyle w:val="ListParagraph"/>
        <w:numPr>
          <w:ilvl w:val="0"/>
          <w:numId w:val="2"/>
        </w:numPr>
        <w:spacing w:before="60" w:after="60"/>
      </w:pPr>
      <w:r>
        <w:rPr>
          <w:rFonts w:ascii="Arial" w:cs="Arial" w:eastAsia="Arial" w:hAnsi="Arial"/>
          <w:b w:val="false"/>
          <w:bCs w:val="false"/>
          <w:sz w:val="22"/>
          <w:szCs w:val="22"/>
        </w:rPr>
        <w:t xml:space="preserve">POST /auth/login — accepts username + password, returns JWT</w:t>
      </w:r>
    </w:p>
    <w:p>
      <w:pPr>
        <w:pStyle w:val="ListParagraph"/>
        <w:numPr>
          <w:ilvl w:val="0"/>
          <w:numId w:val="2"/>
        </w:numPr>
        <w:spacing w:before="60" w:after="60"/>
      </w:pPr>
      <w:r>
        <w:rPr>
          <w:rFonts w:ascii="Arial" w:cs="Arial" w:eastAsia="Arial" w:hAnsi="Arial"/>
          <w:b w:val="false"/>
          <w:bCs w:val="false"/>
          <w:sz w:val="22"/>
          <w:szCs w:val="22"/>
        </w:rPr>
        <w:t xml:space="preserve">JWT included in Authorization header on all subsequent API requests</w:t>
      </w:r>
    </w:p>
    <w:p>
      <w:pPr>
        <w:pStyle w:val="ListParagraph"/>
        <w:numPr>
          <w:ilvl w:val="0"/>
          <w:numId w:val="2"/>
        </w:numPr>
        <w:spacing w:before="60" w:after="60"/>
      </w:pPr>
      <w:r>
        <w:rPr>
          <w:rFonts w:ascii="Arial" w:cs="Arial" w:eastAsia="Arial" w:hAnsi="Arial"/>
          <w:b w:val="false"/>
          <w:bCs w:val="false"/>
          <w:sz w:val="22"/>
          <w:szCs w:val="22"/>
        </w:rPr>
        <w:t xml:space="preserve">FastAPI dependency injection handles token validation on protected routes</w:t>
      </w:r>
    </w:p>
    <w:p>
      <w:pPr>
        <w:spacing w:before="80" w:after="80"/>
      </w:pPr>
      <w:r>
        <w:rPr>
          <w:rFonts w:ascii="Arial" w:cs="Arial" w:eastAsia="Arial" w:hAnsi="Arial"/>
          <w:sz w:val="22"/>
          <w:szCs w:val="22"/>
        </w:rPr>
        <w:t xml:space="preserve">When the user group grows or changes, upgrading to a proper user table with hashed passwords is a small migration.</w:t>
      </w:r>
    </w:p>
    <w:p>
      <w:pPr>
        <w:pBdr>
          <w:bottom w:val="single" w:color="2563A8" w:sz="4" w:space="1"/>
        </w:pBdr>
        <w:spacing w:before="200" w:after="200"/>
      </w:pPr>
    </w:p>
    <w:p>
      <w:pPr>
        <w:pStyle w:val="Heading1"/>
        <w:spacing w:before="400" w:after="200"/>
      </w:pPr>
      <w:r>
        <w:rPr>
          <w:rFonts w:ascii="Arial" w:cs="Arial" w:eastAsia="Arial" w:hAnsi="Arial"/>
          <w:b/>
          <w:bCs/>
          <w:color w:val="1B3A5C"/>
          <w:sz w:val="36"/>
          <w:szCs w:val="36"/>
        </w:rPr>
        <w:t xml:space="preserve">9. Build Order</w:t>
      </w:r>
    </w:p>
    <w:p>
      <w:pPr>
        <w:spacing w:before="80" w:after="80"/>
      </w:pPr>
      <w:r>
        <w:rPr>
          <w:rFonts w:ascii="Arial" w:cs="Arial" w:eastAsia="Arial" w:hAnsi="Arial"/>
          <w:sz w:val="22"/>
          <w:szCs w:val="22"/>
        </w:rPr>
        <w:t xml:space="preserve">Each stage produces something working and testable before moving to the next. Do not skip stages or build components in parallel — each stage depends on the previous.</w:t>
      </w:r>
    </w:p>
    <w:p>
      <w:pPr>
        <w:spacing w:before="16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560"/>
        <w:gridCol w:w="220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What gets built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563A8"/>
                <w:sz w:val="20"/>
                <w:szCs w:val="20"/>
              </w:rPr>
              <w:t xml:space="preserve">Stage 1</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Data Layer</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FastAPI setup, yfinance integration, SQLite schema, endpoint returning clean OHLCV data for a ticker</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sz w:val="20"/>
                <w:szCs w:val="20"/>
              </w:rPr>
              <w:t xml:space="preserve">Hit /data/AAPL and get real price history back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Stage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 Engine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pandas-ta signal computation across all 5 categories, endpoint returning full signal JSON for a ticker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Hit /analyze/AAPL and get structured signals back</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563A8"/>
                <w:sz w:val="20"/>
                <w:szCs w:val="20"/>
              </w:rPr>
              <w:t xml:space="preserve">Stage 3</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AI Synthesis</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Claude API integration, system prompt, streaming endpoint returning copilot narrative</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sz w:val="20"/>
                <w:szCs w:val="20"/>
              </w:rPr>
              <w:t xml:space="preserve">Full analysis pipeline working end-to-end in backend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Stage 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 Core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app, login page, Ticker Analysis Page with chart and streaming narrative wired to backend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First usable product — type a ticker, get full analysis</w:t>
            </w:r>
          </w:p>
        </w:tc>
      </w:tr>
      <w:tr>
        <w:tc>
          <w:tcPr>
            <w:tcW w:type="dxa" w:w="14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color w:val="2563A8"/>
                <w:sz w:val="20"/>
                <w:szCs w:val="20"/>
              </w:rPr>
              <w:t xml:space="preserve">Stage 5</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Watchlist &amp; Auth</w:t>
            </w:r>
          </w:p>
        </w:tc>
        <w:tc>
          <w:tcPr>
            <w:tcW w:type="dxa" w:w="356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sz w:val="20"/>
                <w:szCs w:val="20"/>
              </w:rPr>
              <w:t xml:space="preserve">JWT auth, user accounts, watchlist CRUD, dashboard homepage</w:t>
            </w:r>
          </w:p>
        </w:tc>
        <w:tc>
          <w:tcPr>
            <w:tcW w:type="dxa" w:w="2200"/>
            <w:tcBorders>
              <w:top w:val="single" w:color="CCCCCC" w:sz="1"/>
              <w:left w:val="single" w:color="CCCCCC" w:sz="1"/>
              <w:bottom w:val="single" w:color="CCCCCC" w:sz="1"/>
              <w:right w:val="single" w:color="CCCCCC" w:sz="1"/>
            </w:tcBorders>
            <w:shd w:fill="F7FAFD" w:val="clear"/>
            <w:tcMar>
              <w:top w:type="dxa" w:w="80"/>
              <w:left w:type="dxa" w:w="120"/>
              <w:bottom w:type="dxa" w:w="80"/>
              <w:right w:type="dxa" w:w="120"/>
            </w:tcMar>
          </w:tcPr>
          <w:p>
            <w:r>
              <w:rPr>
                <w:rFonts w:ascii="Arial" w:cs="Arial" w:eastAsia="Arial" w:hAnsi="Arial"/>
                <w:b/>
                <w:bCs/>
                <w:sz w:val="20"/>
                <w:szCs w:val="20"/>
              </w:rPr>
              <w:t xml:space="preserve">Platform feels complete for multiple users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563A8"/>
                <w:sz w:val="20"/>
                <w:szCs w:val="20"/>
              </w:rPr>
              <w:t xml:space="preserve">Stage 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Scheduler &amp; Digest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GitHub Actions cron, nightly refresh logic, digest generation, notifications panel in 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Daily habit — digests waiting every evening</w:t>
            </w:r>
          </w:p>
        </w:tc>
      </w:tr>
    </w:tbl>
    <w:p>
      <w:pPr>
        <w:pBdr>
          <w:bottom w:val="single" w:color="2563A8" w:sz="4" w:space="1"/>
        </w:pBdr>
        <w:spacing w:before="200" w:after="200"/>
      </w:pPr>
    </w:p>
    <w:p>
      <w:pPr>
        <w:pStyle w:val="Heading1"/>
        <w:spacing w:before="400" w:after="200"/>
      </w:pPr>
      <w:r>
        <w:rPr>
          <w:rFonts w:ascii="Arial" w:cs="Arial" w:eastAsia="Arial" w:hAnsi="Arial"/>
          <w:b/>
          <w:bCs/>
          <w:color w:val="1B3A5C"/>
          <w:sz w:val="36"/>
          <w:szCs w:val="36"/>
        </w:rPr>
        <w:t xml:space="preserve">10. V2 Backlog (Out of Scope for v1)</w:t>
      </w:r>
    </w:p>
    <w:p>
      <w:pPr>
        <w:spacing w:before="80" w:after="80"/>
      </w:pPr>
      <w:r>
        <w:rPr>
          <w:rFonts w:ascii="Arial" w:cs="Arial" w:eastAsia="Arial" w:hAnsi="Arial"/>
          <w:sz w:val="22"/>
          <w:szCs w:val="22"/>
        </w:rPr>
        <w:t xml:space="preserve">These are intentionally deferred. Do not build them in v1.</w:t>
      </w:r>
    </w:p>
    <w:p>
      <w:pPr>
        <w:pStyle w:val="ListParagraph"/>
        <w:numPr>
          <w:ilvl w:val="0"/>
          <w:numId w:val="2"/>
        </w:numPr>
        <w:spacing w:before="60" w:after="60"/>
      </w:pPr>
      <w:r>
        <w:rPr>
          <w:rFonts w:ascii="Arial" w:cs="Arial" w:eastAsia="Arial" w:hAnsi="Arial"/>
          <w:b w:val="false"/>
          <w:bCs w:val="false"/>
          <w:sz w:val="22"/>
          <w:szCs w:val="22"/>
        </w:rPr>
        <w:t xml:space="preserve">Options Analysis Module — IV rank, put/call ratio, Greeks, options-aware trade recommendations</w:t>
      </w:r>
    </w:p>
    <w:p>
      <w:pPr>
        <w:pStyle w:val="ListParagraph"/>
        <w:numPr>
          <w:ilvl w:val="0"/>
          <w:numId w:val="2"/>
        </w:numPr>
        <w:spacing w:before="60" w:after="60"/>
      </w:pPr>
      <w:r>
        <w:rPr>
          <w:rFonts w:ascii="Arial" w:cs="Arial" w:eastAsia="Arial" w:hAnsi="Arial"/>
          <w:b w:val="false"/>
          <w:bCs w:val="false"/>
          <w:sz w:val="22"/>
          <w:szCs w:val="22"/>
        </w:rPr>
        <w:t xml:space="preserve">Email / SMS alerts — delivery channels for digest notifications (Resend or SendGrid for email, Twilio for SMS)</w:t>
      </w:r>
    </w:p>
    <w:p>
      <w:pPr>
        <w:pStyle w:val="ListParagraph"/>
        <w:numPr>
          <w:ilvl w:val="0"/>
          <w:numId w:val="2"/>
        </w:numPr>
        <w:spacing w:before="60" w:after="60"/>
      </w:pPr>
      <w:r>
        <w:rPr>
          <w:rFonts w:ascii="Arial" w:cs="Arial" w:eastAsia="Arial" w:hAnsi="Arial"/>
          <w:b w:val="false"/>
          <w:bCs w:val="false"/>
          <w:sz w:val="22"/>
          <w:szCs w:val="22"/>
        </w:rPr>
        <w:t xml:space="preserve">Trigger-based alerts — notify when RSI crosses a threshold, pattern detected, MA crossover fires</w:t>
      </w:r>
    </w:p>
    <w:p>
      <w:pPr>
        <w:pStyle w:val="ListParagraph"/>
        <w:numPr>
          <w:ilvl w:val="0"/>
          <w:numId w:val="2"/>
        </w:numPr>
        <w:spacing w:before="60" w:after="60"/>
      </w:pPr>
      <w:r>
        <w:rPr>
          <w:rFonts w:ascii="Arial" w:cs="Arial" w:eastAsia="Arial" w:hAnsi="Arial"/>
          <w:b w:val="false"/>
          <w:bCs w:val="false"/>
          <w:sz w:val="22"/>
          <w:szCs w:val="22"/>
        </w:rPr>
        <w:t xml:space="preserve">Polygon.io or Tiingo migration — swap yfinance for a more stable paid data source</w:t>
      </w:r>
    </w:p>
    <w:p>
      <w:pPr>
        <w:pStyle w:val="ListParagraph"/>
        <w:numPr>
          <w:ilvl w:val="0"/>
          <w:numId w:val="2"/>
        </w:numPr>
        <w:spacing w:before="60" w:after="60"/>
      </w:pPr>
      <w:r>
        <w:rPr>
          <w:rFonts w:ascii="Arial" w:cs="Arial" w:eastAsia="Arial" w:hAnsi="Arial"/>
          <w:b w:val="false"/>
          <w:bCs w:val="false"/>
          <w:sz w:val="22"/>
          <w:szCs w:val="22"/>
        </w:rPr>
        <w:t xml:space="preserve">PostgreSQL migration — move from SQLite to PostgreSQL on Render</w:t>
      </w:r>
    </w:p>
    <w:p>
      <w:pPr>
        <w:pStyle w:val="ListParagraph"/>
        <w:numPr>
          <w:ilvl w:val="0"/>
          <w:numId w:val="2"/>
        </w:numPr>
        <w:spacing w:before="60" w:after="60"/>
      </w:pPr>
      <w:r>
        <w:rPr>
          <w:rFonts w:ascii="Arial" w:cs="Arial" w:eastAsia="Arial" w:hAnsi="Arial"/>
          <w:b w:val="false"/>
          <w:bCs w:val="false"/>
          <w:sz w:val="22"/>
          <w:szCs w:val="22"/>
        </w:rPr>
        <w:t xml:space="preserve">Intraday data — hourly candles for more granular analysis</w:t>
      </w:r>
    </w:p>
    <w:p>
      <w:pPr>
        <w:pStyle w:val="ListParagraph"/>
        <w:numPr>
          <w:ilvl w:val="0"/>
          <w:numId w:val="2"/>
        </w:numPr>
        <w:spacing w:before="60" w:after="60"/>
      </w:pPr>
      <w:r>
        <w:rPr>
          <w:rFonts w:ascii="Arial" w:cs="Arial" w:eastAsia="Arial" w:hAnsi="Arial"/>
          <w:b w:val="false"/>
          <w:bCs w:val="false"/>
          <w:sz w:val="22"/>
          <w:szCs w:val="22"/>
        </w:rPr>
        <w:t xml:space="preserve">Portfolio tracking — track actual positions and P&amp;L alongside watchlist</w:t>
      </w:r>
    </w:p>
    <w:p>
      <w:pPr>
        <w:pStyle w:val="ListParagraph"/>
        <w:numPr>
          <w:ilvl w:val="0"/>
          <w:numId w:val="2"/>
        </w:numPr>
        <w:spacing w:before="60" w:after="60"/>
      </w:pPr>
      <w:r>
        <w:rPr>
          <w:rFonts w:ascii="Arial" w:cs="Arial" w:eastAsia="Arial" w:hAnsi="Arial"/>
          <w:b w:val="false"/>
          <w:bCs w:val="false"/>
          <w:sz w:val="22"/>
          <w:szCs w:val="22"/>
        </w:rPr>
        <w:t xml:space="preserve">Backtesting — test how signals would have performed historically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Trading Copilot — Technical Specification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563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2026-02-21T06:54:14.810Z</dcterms:created>
  <dcterms:modified xsi:type="dcterms:W3CDTF">2026-02-21T06:54:14.811Z</dcterms:modified>
</cp:coreProperties>
</file>

<file path=docProps/custom.xml><?xml version="1.0" encoding="utf-8"?>
<Properties xmlns="http://schemas.openxmlformats.org/officeDocument/2006/custom-properties" xmlns:vt="http://schemas.openxmlformats.org/officeDocument/2006/docPropsVTypes"/>
</file>