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05E49"/>
          <w:sz w:val="18"/>
        </w:rPr>
        <w:t>LETZRYD FLEET MANAGEMENT PORTAL | INTERNAL OPERATIONS</w:t>
      </w:r>
    </w:p>
    <w:p>
      <w:pPr>
        <w:spacing w:before="40" w:after="120"/>
      </w:pPr>
      <w:r>
        <w:rPr>
          <w:b/>
          <w:color w:val="1E293B"/>
          <w:sz w:val="40"/>
        </w:rPr>
        <w:t>Rental Plans Form Update &amp; Database Staging Architecture</w:t>
      </w:r>
    </w:p>
    <w:tbl>
      <w:tblPr>
        <w:tblW w:type="auto" w:w="0"/>
        <w:jc w:val="center"/>
        <w:tblLook w:firstColumn="1" w:firstRow="1" w:lastColumn="0" w:lastRow="0" w:noHBand="0" w:noVBand="1" w:val="04A0"/>
      </w:tblPr>
      <w:tblGrid>
        <w:gridCol w:w="9936"/>
      </w:tblGrid>
      <w:tr>
        <w:tc>
          <w:tcPr>
            <w:tcW w:type="dxa" w:w="9936"/>
            <w:shd w:fill="105e49"/>
          </w:tcPr>
          <w:p>
            <w:pPr>
              <w:spacing w:before="20" w:after="20"/>
            </w:pPr>
            <w:r>
              <w:rPr>
                <w:sz w:val="4"/>
              </w:rPr>
            </w:r>
          </w:p>
        </w:tc>
      </w:tr>
    </w:tbl>
    <w:p>
      <w:pPr>
        <w:pStyle w:val="Heading1"/>
        <w:spacing w:before="280" w:after="120"/>
      </w:pPr>
      <w:r>
        <w:rPr>
          <w:color w:val="105E49"/>
          <w:sz w:val="26"/>
        </w:rPr>
        <w:t>1. Executive Summary</w:t>
      </w:r>
    </w:p>
    <w:p>
      <w:pPr>
        <w:spacing w:after="200"/>
      </w:pPr>
      <w:r>
        <w:t>Based on the architecture of Rental Final Table from the backend repository in GitHub, we have updated the legacy Rent Plans form to support all business rental operations (operator agreements, concessions/waivers, trip slabs, vehicle model standards, and fee policies) matching our standard portal forms (such as Partner Onboarding and Vehicle Onboarding).</w:t>
        <w:br/>
        <w:br/>
        <w:t>To keep live tables safe from direct portal interference during testing:</w:t>
        <w:br/>
        <w:t>• All form submissions are saved into a dedicated single copy table in PostgreSQL: public.portal_rental_plans.</w:t>
        <w:br/>
        <w:t>• A verified promotion pipeline script is in place to transfer and distribute this staged data into the live tables in the future after testing for daily calculation and Hisaab settlement processing.</w:t>
      </w:r>
    </w:p>
    <w:p>
      <w:pPr>
        <w:pStyle w:val="Heading1"/>
        <w:spacing w:before="280" w:after="120"/>
      </w:pPr>
      <w:r>
        <w:rPr>
          <w:color w:val="105E49"/>
          <w:sz w:val="26"/>
        </w:rPr>
        <w:t>2. What Was Done: New Operational Rental Form</w:t>
      </w:r>
    </w:p>
    <w:p>
      <w:pPr>
        <w:spacing w:after="120"/>
      </w:pPr>
      <w:r>
        <w:t>The new Rent Plans form (src/components/RentForm.tsx) has been redesigned as a clean, real operations form matching the visual identity and user experience of Partner Onboarding and Vehicle Onboarding. It provides 6 standard business plan types:</w:t>
      </w:r>
    </w:p>
    <w:tbl>
      <w:tblPr>
        <w:tblW w:type="auto" w:w="0"/>
        <w:jc w:val="center"/>
        <w:tblLook w:firstColumn="1" w:firstRow="1" w:lastColumn="0" w:lastRow="0" w:noHBand="0" w:noVBand="1" w:val="04A0"/>
      </w:tblPr>
      <w:tblGrid>
        <w:gridCol w:w="3312"/>
        <w:gridCol w:w="3312"/>
        <w:gridCol w:w="3312"/>
      </w:tblGrid>
      <w:tr>
        <w:tc>
          <w:tcPr>
            <w:tcW w:type="dxa" w:w="3312"/>
            <w:shd w:fill="105e49"/>
            <w:tcMar>
              <w:top w:w="120" w:type="dxa"/>
              <w:bottom w:w="120" w:type="dxa"/>
              <w:left w:w="140" w:type="dxa"/>
              <w:right w:w="140" w:type="dxa"/>
            </w:tcMar>
          </w:tcPr>
          <w:p>
            <w:r>
              <w:rPr>
                <w:b/>
                <w:color w:val="FFFFFF"/>
                <w:sz w:val="18"/>
              </w:rPr>
              <w:t>Plan Type Option</w:t>
            </w:r>
          </w:p>
        </w:tc>
        <w:tc>
          <w:tcPr>
            <w:tcW w:type="dxa" w:w="3312"/>
            <w:shd w:fill="105e49"/>
            <w:tcMar>
              <w:top w:w="120" w:type="dxa"/>
              <w:bottom w:w="120" w:type="dxa"/>
              <w:left w:w="140" w:type="dxa"/>
              <w:right w:w="140" w:type="dxa"/>
            </w:tcMar>
          </w:tcPr>
          <w:p>
            <w:r>
              <w:rPr>
                <w:b/>
                <w:color w:val="FFFFFF"/>
                <w:sz w:val="18"/>
              </w:rPr>
              <w:t>Operational Category</w:t>
            </w:r>
          </w:p>
        </w:tc>
        <w:tc>
          <w:tcPr>
            <w:tcW w:type="dxa" w:w="3312"/>
            <w:shd w:fill="105e49"/>
            <w:tcMar>
              <w:top w:w="120" w:type="dxa"/>
              <w:bottom w:w="120" w:type="dxa"/>
              <w:left w:w="140" w:type="dxa"/>
              <w:right w:w="140" w:type="dxa"/>
            </w:tcMar>
          </w:tcPr>
          <w:p>
            <w:r>
              <w:rPr>
                <w:b/>
                <w:color w:val="FFFFFF"/>
                <w:sz w:val="18"/>
              </w:rPr>
              <w:t>Business Purpose &amp; Dynamic Fields</w:t>
            </w:r>
          </w:p>
        </w:tc>
      </w:tr>
      <w:tr>
        <w:tc>
          <w:tcPr>
            <w:tcW w:type="dxa" w:w="3312"/>
            <w:shd w:fill="FFFFFF"/>
            <w:tcMar>
              <w:top w:w="80" w:type="dxa"/>
              <w:bottom w:w="80" w:type="dxa"/>
              <w:left w:w="100" w:type="dxa"/>
              <w:right w:w="100" w:type="dxa"/>
            </w:tcMar>
          </w:tcPr>
          <w:p>
            <w:pPr>
              <w:spacing w:before="20" w:after="20"/>
            </w:pPr>
            <w:r>
              <w:rPr>
                <w:b/>
                <w:sz w:val="17"/>
              </w:rPr>
              <w:t>Operator Agreement</w:t>
            </w:r>
          </w:p>
        </w:tc>
        <w:tc>
          <w:tcPr>
            <w:tcW w:type="dxa" w:w="3312"/>
            <w:shd w:fill="FFFFFF"/>
            <w:tcMar>
              <w:top w:w="80" w:type="dxa"/>
              <w:bottom w:w="80" w:type="dxa"/>
              <w:left w:w="100" w:type="dxa"/>
              <w:right w:w="100" w:type="dxa"/>
            </w:tcMar>
          </w:tcPr>
          <w:p>
            <w:pPr>
              <w:spacing w:before="20" w:after="20"/>
            </w:pPr>
            <w:r>
              <w:rPr>
                <w:b/>
                <w:color w:val="105E49"/>
                <w:sz w:val="17"/>
              </w:rPr>
              <w:t>Custom Partner Deal</w:t>
            </w:r>
          </w:p>
        </w:tc>
        <w:tc>
          <w:tcPr>
            <w:tcW w:type="dxa" w:w="3312"/>
            <w:shd w:fill="FFFFFF"/>
            <w:tcMar>
              <w:top w:w="80" w:type="dxa"/>
              <w:bottom w:w="80" w:type="dxa"/>
              <w:left w:w="100" w:type="dxa"/>
              <w:right w:w="100" w:type="dxa"/>
            </w:tcMar>
          </w:tcPr>
          <w:p>
            <w:pPr>
              <w:spacing w:before="20" w:after="20"/>
            </w:pPr>
            <w:r>
              <w:rPr>
                <w:sz w:val="17"/>
              </w:rPr>
              <w:t>Negotiated flat daily rent rate assigned to an operator or vendor ID (e.g. Hamza Moidu ₹870/day, Subhan Khan, Shaik Kareem).</w:t>
            </w:r>
          </w:p>
        </w:tc>
      </w:tr>
      <w:tr>
        <w:tc>
          <w:tcPr>
            <w:tcW w:type="dxa" w:w="3312"/>
            <w:shd w:fill="F8FAFC"/>
            <w:tcMar>
              <w:top w:w="80" w:type="dxa"/>
              <w:bottom w:w="80" w:type="dxa"/>
              <w:left w:w="100" w:type="dxa"/>
              <w:right w:w="100" w:type="dxa"/>
            </w:tcMar>
          </w:tcPr>
          <w:p>
            <w:pPr>
              <w:spacing w:before="20" w:after="20"/>
            </w:pPr>
            <w:r>
              <w:rPr>
                <w:b/>
                <w:sz w:val="17"/>
              </w:rPr>
              <w:t>Vehicle Concession</w:t>
            </w:r>
          </w:p>
        </w:tc>
        <w:tc>
          <w:tcPr>
            <w:tcW w:type="dxa" w:w="3312"/>
            <w:shd w:fill="F8FAFC"/>
            <w:tcMar>
              <w:top w:w="80" w:type="dxa"/>
              <w:bottom w:w="80" w:type="dxa"/>
              <w:left w:w="100" w:type="dxa"/>
              <w:right w:w="100" w:type="dxa"/>
            </w:tcMar>
          </w:tcPr>
          <w:p>
            <w:pPr>
              <w:spacing w:before="20" w:after="20"/>
            </w:pPr>
            <w:r>
              <w:rPr>
                <w:b/>
                <w:color w:val="105E49"/>
                <w:sz w:val="17"/>
              </w:rPr>
              <w:t>Temporary Concession / Waiver</w:t>
            </w:r>
          </w:p>
        </w:tc>
        <w:tc>
          <w:tcPr>
            <w:tcW w:type="dxa" w:w="3312"/>
            <w:shd w:fill="F8FAFC"/>
            <w:tcMar>
              <w:top w:w="80" w:type="dxa"/>
              <w:bottom w:w="80" w:type="dxa"/>
              <w:left w:w="100" w:type="dxa"/>
              <w:right w:w="100" w:type="dxa"/>
            </w:tcMar>
          </w:tcPr>
          <w:p>
            <w:pPr>
              <w:spacing w:before="20" w:after="20"/>
            </w:pPr>
            <w:r>
              <w:rPr>
                <w:sz w:val="17"/>
              </w:rPr>
              <w:t>Temporary courtesy rate adjustment or breakdown waiver for a specific vehicle registration number with mandatory date window and reason.</w:t>
            </w:r>
          </w:p>
        </w:tc>
      </w:tr>
      <w:tr>
        <w:tc>
          <w:tcPr>
            <w:tcW w:type="dxa" w:w="3312"/>
            <w:shd w:fill="FFFFFF"/>
            <w:tcMar>
              <w:top w:w="80" w:type="dxa"/>
              <w:bottom w:w="80" w:type="dxa"/>
              <w:left w:w="100" w:type="dxa"/>
              <w:right w:w="100" w:type="dxa"/>
            </w:tcMar>
          </w:tcPr>
          <w:p>
            <w:pPr>
              <w:spacing w:before="20" w:after="20"/>
            </w:pPr>
            <w:r>
              <w:rPr>
                <w:b/>
                <w:sz w:val="17"/>
              </w:rPr>
              <w:t>Trip Milestone Slabs</w:t>
            </w:r>
          </w:p>
        </w:tc>
        <w:tc>
          <w:tcPr>
            <w:tcW w:type="dxa" w:w="3312"/>
            <w:shd w:fill="FFFFFF"/>
            <w:tcMar>
              <w:top w:w="80" w:type="dxa"/>
              <w:bottom w:w="80" w:type="dxa"/>
              <w:left w:w="100" w:type="dxa"/>
              <w:right w:w="100" w:type="dxa"/>
            </w:tcMar>
          </w:tcPr>
          <w:p>
            <w:pPr>
              <w:spacing w:before="20" w:after="20"/>
            </w:pPr>
            <w:r>
              <w:rPr>
                <w:b/>
                <w:color w:val="105E49"/>
                <w:sz w:val="17"/>
              </w:rPr>
              <w:t>Dynamic Trip Slabs</w:t>
            </w:r>
          </w:p>
        </w:tc>
        <w:tc>
          <w:tcPr>
            <w:tcW w:type="dxa" w:w="3312"/>
            <w:shd w:fill="FFFFFF"/>
            <w:tcMar>
              <w:top w:w="80" w:type="dxa"/>
              <w:bottom w:w="80" w:type="dxa"/>
              <w:left w:w="100" w:type="dxa"/>
              <w:right w:w="100" w:type="dxa"/>
            </w:tcMar>
          </w:tcPr>
          <w:p>
            <w:pPr>
              <w:spacing w:before="20" w:after="20"/>
            </w:pPr>
            <w:r>
              <w:rPr>
                <w:sz w:val="17"/>
              </w:rPr>
              <w:t>Weekly reducing rent tiers based on completed trips (Uber / Ola / Total trips) with trip min, max, and qualifying conditions.</w:t>
            </w:r>
          </w:p>
        </w:tc>
      </w:tr>
      <w:tr>
        <w:tc>
          <w:tcPr>
            <w:tcW w:type="dxa" w:w="3312"/>
            <w:shd w:fill="F8FAFC"/>
            <w:tcMar>
              <w:top w:w="80" w:type="dxa"/>
              <w:bottom w:w="80" w:type="dxa"/>
              <w:left w:w="100" w:type="dxa"/>
              <w:right w:w="100" w:type="dxa"/>
            </w:tcMar>
          </w:tcPr>
          <w:p>
            <w:pPr>
              <w:spacing w:before="20" w:after="20"/>
            </w:pPr>
            <w:r>
              <w:rPr>
                <w:b/>
                <w:sz w:val="17"/>
              </w:rPr>
              <w:t>Model Standard Rate</w:t>
            </w:r>
          </w:p>
        </w:tc>
        <w:tc>
          <w:tcPr>
            <w:tcW w:type="dxa" w:w="3312"/>
            <w:shd w:fill="F8FAFC"/>
            <w:tcMar>
              <w:top w:w="80" w:type="dxa"/>
              <w:bottom w:w="80" w:type="dxa"/>
              <w:left w:w="100" w:type="dxa"/>
              <w:right w:w="100" w:type="dxa"/>
            </w:tcMar>
          </w:tcPr>
          <w:p>
            <w:pPr>
              <w:spacing w:before="20" w:after="20"/>
            </w:pPr>
            <w:r>
              <w:rPr>
                <w:b/>
                <w:color w:val="105E49"/>
                <w:sz w:val="17"/>
              </w:rPr>
              <w:t>Vehicle Model Baseline</w:t>
            </w:r>
          </w:p>
        </w:tc>
        <w:tc>
          <w:tcPr>
            <w:tcW w:type="dxa" w:w="3312"/>
            <w:shd w:fill="F8FAFC"/>
            <w:tcMar>
              <w:top w:w="80" w:type="dxa"/>
              <w:bottom w:w="80" w:type="dxa"/>
              <w:left w:w="100" w:type="dxa"/>
              <w:right w:w="100" w:type="dxa"/>
            </w:tcMar>
          </w:tcPr>
          <w:p>
            <w:pPr>
              <w:spacing w:before="20" w:after="20"/>
            </w:pPr>
            <w:r>
              <w:rPr>
                <w:sz w:val="17"/>
              </w:rPr>
              <w:t>Default daily fallback rate applied to all vehicles of a model across the city (WagonR, Dzire, EC3, Tigor EV, Etios).</w:t>
            </w:r>
          </w:p>
        </w:tc>
      </w:tr>
      <w:tr>
        <w:tc>
          <w:tcPr>
            <w:tcW w:type="dxa" w:w="3312"/>
            <w:shd w:fill="FFFFFF"/>
            <w:tcMar>
              <w:top w:w="80" w:type="dxa"/>
              <w:bottom w:w="80" w:type="dxa"/>
              <w:left w:w="100" w:type="dxa"/>
              <w:right w:w="100" w:type="dxa"/>
            </w:tcMar>
          </w:tcPr>
          <w:p>
            <w:pPr>
              <w:spacing w:before="20" w:after="20"/>
            </w:pPr>
            <w:r>
              <w:rPr>
                <w:b/>
                <w:sz w:val="17"/>
              </w:rPr>
              <w:t>Indemnity Policy &amp; Waiver</w:t>
            </w:r>
          </w:p>
        </w:tc>
        <w:tc>
          <w:tcPr>
            <w:tcW w:type="dxa" w:w="3312"/>
            <w:shd w:fill="FFFFFF"/>
            <w:tcMar>
              <w:top w:w="80" w:type="dxa"/>
              <w:bottom w:w="80" w:type="dxa"/>
              <w:left w:w="100" w:type="dxa"/>
              <w:right w:w="100" w:type="dxa"/>
            </w:tcMar>
          </w:tcPr>
          <w:p>
            <w:pPr>
              <w:spacing w:before="20" w:after="20"/>
            </w:pPr>
            <w:r>
              <w:rPr>
                <w:b/>
                <w:color w:val="105E49"/>
                <w:sz w:val="17"/>
              </w:rPr>
              <w:t>Fee Rule Setting</w:t>
            </w:r>
          </w:p>
        </w:tc>
        <w:tc>
          <w:tcPr>
            <w:tcW w:type="dxa" w:w="3312"/>
            <w:shd w:fill="FFFFFF"/>
            <w:tcMar>
              <w:top w:w="80" w:type="dxa"/>
              <w:bottom w:w="80" w:type="dxa"/>
              <w:left w:w="100" w:type="dxa"/>
              <w:right w:w="100" w:type="dxa"/>
            </w:tcMar>
          </w:tcPr>
          <w:p>
            <w:pPr>
              <w:spacing w:before="20" w:after="20"/>
            </w:pPr>
            <w:r>
              <w:rPr>
                <w:sz w:val="17"/>
              </w:rPr>
              <w:t>Standard indemnity fee (₹30/day), city-wide waivers (automatic ₹0 fee policy for Mumbai), or driver-specific waivers.</w:t>
            </w:r>
          </w:p>
        </w:tc>
      </w:tr>
      <w:tr>
        <w:tc>
          <w:tcPr>
            <w:tcW w:type="dxa" w:w="3312"/>
            <w:shd w:fill="F8FAFC"/>
            <w:tcMar>
              <w:top w:w="80" w:type="dxa"/>
              <w:bottom w:w="80" w:type="dxa"/>
              <w:left w:w="100" w:type="dxa"/>
              <w:right w:w="100" w:type="dxa"/>
            </w:tcMar>
          </w:tcPr>
          <w:p>
            <w:pPr>
              <w:spacing w:before="20" w:after="20"/>
            </w:pPr>
            <w:r>
              <w:rPr>
                <w:b/>
                <w:sz w:val="17"/>
              </w:rPr>
              <w:t>Master City Plan</w:t>
            </w:r>
          </w:p>
        </w:tc>
        <w:tc>
          <w:tcPr>
            <w:tcW w:type="dxa" w:w="3312"/>
            <w:shd w:fill="F8FAFC"/>
            <w:tcMar>
              <w:top w:w="80" w:type="dxa"/>
              <w:bottom w:w="80" w:type="dxa"/>
              <w:left w:w="100" w:type="dxa"/>
              <w:right w:w="100" w:type="dxa"/>
            </w:tcMar>
          </w:tcPr>
          <w:p>
            <w:pPr>
              <w:spacing w:before="20" w:after="20"/>
            </w:pPr>
            <w:r>
              <w:rPr>
                <w:b/>
                <w:color w:val="105E49"/>
                <w:sz w:val="17"/>
              </w:rPr>
              <w:t>Core Catalogue Plan</w:t>
            </w:r>
          </w:p>
        </w:tc>
        <w:tc>
          <w:tcPr>
            <w:tcW w:type="dxa" w:w="3312"/>
            <w:shd w:fill="F8FAFC"/>
            <w:tcMar>
              <w:top w:w="80" w:type="dxa"/>
              <w:bottom w:w="80" w:type="dxa"/>
              <w:left w:w="100" w:type="dxa"/>
              <w:right w:w="100" w:type="dxa"/>
            </w:tcMar>
          </w:tcPr>
          <w:p>
            <w:pPr>
              <w:spacing w:before="20" w:after="20"/>
            </w:pPr>
            <w:r>
              <w:rPr>
                <w:sz w:val="17"/>
              </w:rPr>
              <w:t>Canonical city catalogue plan definitions (Bangalore Individual, Hyderabad TBS, Mumbai Reducing).</w:t>
            </w:r>
          </w:p>
        </w:tc>
      </w:tr>
    </w:tbl>
    <w:p>
      <w:pPr>
        <w:spacing w:before="160" w:after="200"/>
      </w:pPr>
      <w:r>
        <w:t>Key Operational Features in the Form:</w:t>
        <w:br/>
        <w:t>• City Selector: Bangalore, Hyderabad, Mumbai, or All Cities (switching to Mumbai automatically enforces the ₹0 fee waiver policy).</w:t>
        <w:br/>
        <w:t>• Autocomplete Operators: Type to search or select known operators from the fleet list.</w:t>
        <w:br/>
        <w:t>• Live Total Display: Real-time calculation showing: Daily Base Rent (₹) + Daily Indemnity Fee (₹) = Total Net Rent / Day.</w:t>
        <w:br/>
        <w:t>• Rent Registry Tab: Full searchable and filterable registry table (by City, Plan Type, and Status) with quick Edit and Delete actions.</w:t>
        <w:br/>
        <w:t>• Audit Ledger Tab: Immutable log recording change history, modifier, old vs new amounts, and effective dates.</w:t>
      </w:r>
    </w:p>
    <w:p>
      <w:pPr>
        <w:pStyle w:val="Heading1"/>
        <w:spacing w:before="280" w:after="120"/>
      </w:pPr>
      <w:r>
        <w:rPr>
          <w:color w:val="105E49"/>
          <w:sz w:val="26"/>
        </w:rPr>
        <w:t>3. What Was Done: New Table Created in PostgreSQL</w:t>
      </w:r>
    </w:p>
    <w:p>
      <w:pPr>
        <w:spacing w:after="120"/>
      </w:pPr>
      <w:r>
        <w:t>To avoid direct connections to live production tables during portal submissions, a single copy staging table has been created in the database: public.portal_rental_plans.</w:t>
        <w:br/>
        <w:t>All data entered via the new rental form is stored cleanly in this single table.</w:t>
      </w:r>
    </w:p>
    <w:tbl>
      <w:tblPr>
        <w:tblW w:type="auto" w:w="0"/>
        <w:jc w:val="center"/>
        <w:tblLook w:firstColumn="1" w:firstRow="1" w:lastColumn="0" w:lastRow="0" w:noHBand="0" w:noVBand="1" w:val="04A0"/>
      </w:tblPr>
      <w:tblGrid>
        <w:gridCol w:w="3312"/>
        <w:gridCol w:w="3312"/>
        <w:gridCol w:w="3312"/>
      </w:tblGrid>
      <w:tr>
        <w:tc>
          <w:tcPr>
            <w:tcW w:type="dxa" w:w="3312"/>
            <w:shd w:fill="105e49"/>
            <w:tcMar>
              <w:top w:w="120" w:type="dxa"/>
              <w:bottom w:w="120" w:type="dxa"/>
              <w:left w:w="140" w:type="dxa"/>
              <w:right w:w="140" w:type="dxa"/>
            </w:tcMar>
          </w:tcPr>
          <w:p>
            <w:r>
              <w:rPr>
                <w:b/>
                <w:color w:val="FFFFFF"/>
                <w:sz w:val="18"/>
              </w:rPr>
              <w:t>Field Name in DB</w:t>
            </w:r>
          </w:p>
        </w:tc>
        <w:tc>
          <w:tcPr>
            <w:tcW w:type="dxa" w:w="3312"/>
            <w:shd w:fill="105e49"/>
            <w:tcMar>
              <w:top w:w="120" w:type="dxa"/>
              <w:bottom w:w="120" w:type="dxa"/>
              <w:left w:w="140" w:type="dxa"/>
              <w:right w:w="140" w:type="dxa"/>
            </w:tcMar>
          </w:tcPr>
          <w:p>
            <w:r>
              <w:rPr>
                <w:b/>
                <w:color w:val="FFFFFF"/>
                <w:sz w:val="18"/>
              </w:rPr>
              <w:t>PostgreSQL Data Type</w:t>
            </w:r>
          </w:p>
        </w:tc>
        <w:tc>
          <w:tcPr>
            <w:tcW w:type="dxa" w:w="3312"/>
            <w:shd w:fill="105e49"/>
            <w:tcMar>
              <w:top w:w="120" w:type="dxa"/>
              <w:bottom w:w="120" w:type="dxa"/>
              <w:left w:w="140" w:type="dxa"/>
              <w:right w:w="140" w:type="dxa"/>
            </w:tcMar>
          </w:tcPr>
          <w:p>
            <w:r>
              <w:rPr>
                <w:b/>
                <w:color w:val="FFFFFF"/>
                <w:sz w:val="18"/>
              </w:rPr>
              <w:t>Operational Description</w:t>
            </w:r>
          </w:p>
        </w:tc>
      </w:tr>
      <w:tr>
        <w:tc>
          <w:tcPr>
            <w:tcW w:type="dxa" w:w="3312"/>
            <w:shd w:fill="FFFFFF"/>
            <w:tcMar>
              <w:top w:w="70" w:type="dxa"/>
              <w:bottom w:w="70" w:type="dxa"/>
              <w:left w:w="90" w:type="dxa"/>
              <w:right w:w="90" w:type="dxa"/>
            </w:tcMar>
          </w:tcPr>
          <w:p>
            <w:pPr>
              <w:spacing w:before="20" w:after="20"/>
            </w:pPr>
            <w:r>
              <w:rPr>
                <w:b/>
                <w:color w:val="1E293B"/>
                <w:sz w:val="17"/>
              </w:rPr>
              <w:t>id</w:t>
            </w:r>
          </w:p>
        </w:tc>
        <w:tc>
          <w:tcPr>
            <w:tcW w:type="dxa" w:w="3312"/>
            <w:shd w:fill="FFFFFF"/>
            <w:tcMar>
              <w:top w:w="70" w:type="dxa"/>
              <w:bottom w:w="70" w:type="dxa"/>
              <w:left w:w="90" w:type="dxa"/>
              <w:right w:w="90" w:type="dxa"/>
            </w:tcMar>
          </w:tcPr>
          <w:p>
            <w:pPr>
              <w:spacing w:before="20" w:after="20"/>
            </w:pPr>
            <w:r>
              <w:rPr>
                <w:color w:val="105E49"/>
                <w:sz w:val="17"/>
              </w:rPr>
              <w:t>SERIAL PRIMARY KEY</w:t>
            </w:r>
          </w:p>
        </w:tc>
        <w:tc>
          <w:tcPr>
            <w:tcW w:type="dxa" w:w="3312"/>
            <w:shd w:fill="FFFFFF"/>
            <w:tcMar>
              <w:top w:w="70" w:type="dxa"/>
              <w:bottom w:w="70" w:type="dxa"/>
              <w:left w:w="90" w:type="dxa"/>
              <w:right w:w="90" w:type="dxa"/>
            </w:tcMar>
          </w:tcPr>
          <w:p>
            <w:pPr>
              <w:spacing w:before="20" w:after="20"/>
            </w:pPr>
            <w:r>
              <w:rPr>
                <w:sz w:val="17"/>
              </w:rPr>
              <w:t>Unique auto-incrementing ID for the plan record.</w:t>
            </w:r>
          </w:p>
        </w:tc>
      </w:tr>
      <w:tr>
        <w:tc>
          <w:tcPr>
            <w:tcW w:type="dxa" w:w="3312"/>
            <w:shd w:fill="F8FAFC"/>
            <w:tcMar>
              <w:top w:w="70" w:type="dxa"/>
              <w:bottom w:w="70" w:type="dxa"/>
              <w:left w:w="90" w:type="dxa"/>
              <w:right w:w="90" w:type="dxa"/>
            </w:tcMar>
          </w:tcPr>
          <w:p>
            <w:pPr>
              <w:spacing w:before="20" w:after="20"/>
            </w:pPr>
            <w:r>
              <w:rPr>
                <w:b/>
                <w:color w:val="1E293B"/>
                <w:sz w:val="17"/>
              </w:rPr>
              <w:t>config_type</w:t>
            </w:r>
          </w:p>
        </w:tc>
        <w:tc>
          <w:tcPr>
            <w:tcW w:type="dxa" w:w="3312"/>
            <w:shd w:fill="F8FAFC"/>
            <w:tcMar>
              <w:top w:w="70" w:type="dxa"/>
              <w:bottom w:w="70" w:type="dxa"/>
              <w:left w:w="90" w:type="dxa"/>
              <w:right w:w="90" w:type="dxa"/>
            </w:tcMar>
          </w:tcPr>
          <w:p>
            <w:pPr>
              <w:spacing w:before="20" w:after="20"/>
            </w:pPr>
            <w:r>
              <w:rPr>
                <w:color w:val="105E49"/>
                <w:sz w:val="17"/>
              </w:rPr>
              <w:t>VARCHAR(32) NOT NULL</w:t>
            </w:r>
          </w:p>
        </w:tc>
        <w:tc>
          <w:tcPr>
            <w:tcW w:type="dxa" w:w="3312"/>
            <w:shd w:fill="F8FAFC"/>
            <w:tcMar>
              <w:top w:w="70" w:type="dxa"/>
              <w:bottom w:w="70" w:type="dxa"/>
              <w:left w:w="90" w:type="dxa"/>
              <w:right w:w="90" w:type="dxa"/>
            </w:tcMar>
          </w:tcPr>
          <w:p>
            <w:pPr>
              <w:spacing w:before="20" w:after="20"/>
            </w:pPr>
            <w:r>
              <w:rPr>
                <w:sz w:val="17"/>
              </w:rPr>
              <w:t>Plan type: PARTNER_DEAL, EXCEPTION_OVERRIDE, RATE_SLAB, MODEL_BASELINE, FEE_WAIVER, CORE_PLAN.</w:t>
            </w:r>
          </w:p>
        </w:tc>
      </w:tr>
      <w:tr>
        <w:tc>
          <w:tcPr>
            <w:tcW w:type="dxa" w:w="3312"/>
            <w:shd w:fill="FFFFFF"/>
            <w:tcMar>
              <w:top w:w="70" w:type="dxa"/>
              <w:bottom w:w="70" w:type="dxa"/>
              <w:left w:w="90" w:type="dxa"/>
              <w:right w:w="90" w:type="dxa"/>
            </w:tcMar>
          </w:tcPr>
          <w:p>
            <w:pPr>
              <w:spacing w:before="20" w:after="20"/>
            </w:pPr>
            <w:r>
              <w:rPr>
                <w:b/>
                <w:color w:val="1E293B"/>
                <w:sz w:val="17"/>
              </w:rPr>
              <w:t>city</w:t>
            </w:r>
          </w:p>
        </w:tc>
        <w:tc>
          <w:tcPr>
            <w:tcW w:type="dxa" w:w="3312"/>
            <w:shd w:fill="FFFFFF"/>
            <w:tcMar>
              <w:top w:w="70" w:type="dxa"/>
              <w:bottom w:w="70" w:type="dxa"/>
              <w:left w:w="90" w:type="dxa"/>
              <w:right w:w="90" w:type="dxa"/>
            </w:tcMar>
          </w:tcPr>
          <w:p>
            <w:pPr>
              <w:spacing w:before="20" w:after="20"/>
            </w:pPr>
            <w:r>
              <w:rPr>
                <w:color w:val="105E49"/>
                <w:sz w:val="17"/>
              </w:rPr>
              <w:t>VARCHAR(32) NOT NULL</w:t>
            </w:r>
          </w:p>
        </w:tc>
        <w:tc>
          <w:tcPr>
            <w:tcW w:type="dxa" w:w="3312"/>
            <w:shd w:fill="FFFFFF"/>
            <w:tcMar>
              <w:top w:w="70" w:type="dxa"/>
              <w:bottom w:w="70" w:type="dxa"/>
              <w:left w:w="90" w:type="dxa"/>
              <w:right w:w="90" w:type="dxa"/>
            </w:tcMar>
          </w:tcPr>
          <w:p>
            <w:pPr>
              <w:spacing w:before="20" w:after="20"/>
            </w:pPr>
            <w:r>
              <w:rPr>
                <w:sz w:val="17"/>
              </w:rPr>
              <w:t>Operating city: Bangalore, Hyderabad, Mumbai, or ALL.</w:t>
            </w:r>
          </w:p>
        </w:tc>
      </w:tr>
      <w:tr>
        <w:tc>
          <w:tcPr>
            <w:tcW w:type="dxa" w:w="3312"/>
            <w:shd w:fill="F8FAFC"/>
            <w:tcMar>
              <w:top w:w="70" w:type="dxa"/>
              <w:bottom w:w="70" w:type="dxa"/>
              <w:left w:w="90" w:type="dxa"/>
              <w:right w:w="90" w:type="dxa"/>
            </w:tcMar>
          </w:tcPr>
          <w:p>
            <w:pPr>
              <w:spacing w:before="20" w:after="20"/>
            </w:pPr>
            <w:r>
              <w:rPr>
                <w:b/>
                <w:color w:val="1E293B"/>
                <w:sz w:val="17"/>
              </w:rPr>
              <w:t>partner_id</w:t>
            </w:r>
          </w:p>
        </w:tc>
        <w:tc>
          <w:tcPr>
            <w:tcW w:type="dxa" w:w="3312"/>
            <w:shd w:fill="F8FAFC"/>
            <w:tcMar>
              <w:top w:w="70" w:type="dxa"/>
              <w:bottom w:w="70" w:type="dxa"/>
              <w:left w:w="90" w:type="dxa"/>
              <w:right w:w="90" w:type="dxa"/>
            </w:tcMar>
          </w:tcPr>
          <w:p>
            <w:pPr>
              <w:spacing w:before="20" w:after="20"/>
            </w:pPr>
            <w:r>
              <w:rPr>
                <w:color w:val="105E49"/>
                <w:sz w:val="17"/>
              </w:rPr>
              <w:t>VARCHAR(64)</w:t>
            </w:r>
          </w:p>
        </w:tc>
        <w:tc>
          <w:tcPr>
            <w:tcW w:type="dxa" w:w="3312"/>
            <w:shd w:fill="F8FAFC"/>
            <w:tcMar>
              <w:top w:w="70" w:type="dxa"/>
              <w:bottom w:w="70" w:type="dxa"/>
              <w:left w:w="90" w:type="dxa"/>
              <w:right w:w="90" w:type="dxa"/>
            </w:tcMar>
          </w:tcPr>
          <w:p>
            <w:pPr>
              <w:spacing w:before="20" w:after="20"/>
            </w:pPr>
            <w:r>
              <w:rPr>
                <w:sz w:val="17"/>
              </w:rPr>
              <w:t>Operator or Driver code (e.g. LETZBLR_HAMZA, LETZHYDIP9701685282, ALL).</w:t>
            </w:r>
          </w:p>
        </w:tc>
      </w:tr>
      <w:tr>
        <w:tc>
          <w:tcPr>
            <w:tcW w:type="dxa" w:w="3312"/>
            <w:shd w:fill="FFFFFF"/>
            <w:tcMar>
              <w:top w:w="70" w:type="dxa"/>
              <w:bottom w:w="70" w:type="dxa"/>
              <w:left w:w="90" w:type="dxa"/>
              <w:right w:w="90" w:type="dxa"/>
            </w:tcMar>
          </w:tcPr>
          <w:p>
            <w:pPr>
              <w:spacing w:before="20" w:after="20"/>
            </w:pPr>
            <w:r>
              <w:rPr>
                <w:b/>
                <w:color w:val="1E293B"/>
                <w:sz w:val="17"/>
              </w:rPr>
              <w:t>partner_name</w:t>
            </w:r>
          </w:p>
        </w:tc>
        <w:tc>
          <w:tcPr>
            <w:tcW w:type="dxa" w:w="3312"/>
            <w:shd w:fill="FFFFFF"/>
            <w:tcMar>
              <w:top w:w="70" w:type="dxa"/>
              <w:bottom w:w="70" w:type="dxa"/>
              <w:left w:w="90" w:type="dxa"/>
              <w:right w:w="90" w:type="dxa"/>
            </w:tcMar>
          </w:tcPr>
          <w:p>
            <w:pPr>
              <w:spacing w:before="20" w:after="20"/>
            </w:pPr>
            <w:r>
              <w:rPr>
                <w:color w:val="105E49"/>
                <w:sz w:val="17"/>
              </w:rPr>
              <w:t>VARCHAR(128)</w:t>
            </w:r>
          </w:p>
        </w:tc>
        <w:tc>
          <w:tcPr>
            <w:tcW w:type="dxa" w:w="3312"/>
            <w:shd w:fill="FFFFFF"/>
            <w:tcMar>
              <w:top w:w="70" w:type="dxa"/>
              <w:bottom w:w="70" w:type="dxa"/>
              <w:left w:w="90" w:type="dxa"/>
              <w:right w:w="90" w:type="dxa"/>
            </w:tcMar>
          </w:tcPr>
          <w:p>
            <w:pPr>
              <w:spacing w:before="20" w:after="20"/>
            </w:pPr>
            <w:r>
              <w:rPr>
                <w:sz w:val="17"/>
              </w:rPr>
              <w:t>Operator / Partner entity name (e.g. Hamza Moidu, Subhan Khan).</w:t>
            </w:r>
          </w:p>
        </w:tc>
      </w:tr>
      <w:tr>
        <w:tc>
          <w:tcPr>
            <w:tcW w:type="dxa" w:w="3312"/>
            <w:shd w:fill="F8FAFC"/>
            <w:tcMar>
              <w:top w:w="70" w:type="dxa"/>
              <w:bottom w:w="70" w:type="dxa"/>
              <w:left w:w="90" w:type="dxa"/>
              <w:right w:w="90" w:type="dxa"/>
            </w:tcMar>
          </w:tcPr>
          <w:p>
            <w:pPr>
              <w:spacing w:before="20" w:after="20"/>
            </w:pPr>
            <w:r>
              <w:rPr>
                <w:b/>
                <w:color w:val="1E293B"/>
                <w:sz w:val="17"/>
              </w:rPr>
              <w:t>customer_type</w:t>
            </w:r>
          </w:p>
        </w:tc>
        <w:tc>
          <w:tcPr>
            <w:tcW w:type="dxa" w:w="3312"/>
            <w:shd w:fill="F8FAFC"/>
            <w:tcMar>
              <w:top w:w="70" w:type="dxa"/>
              <w:bottom w:w="70" w:type="dxa"/>
              <w:left w:w="90" w:type="dxa"/>
              <w:right w:w="90" w:type="dxa"/>
            </w:tcMar>
          </w:tcPr>
          <w:p>
            <w:pPr>
              <w:spacing w:before="20" w:after="20"/>
            </w:pPr>
            <w:r>
              <w:rPr>
                <w:color w:val="105E49"/>
                <w:sz w:val="17"/>
              </w:rPr>
              <w:t>VARCHAR(32)</w:t>
            </w:r>
          </w:p>
        </w:tc>
        <w:tc>
          <w:tcPr>
            <w:tcW w:type="dxa" w:w="3312"/>
            <w:shd w:fill="F8FAFC"/>
            <w:tcMar>
              <w:top w:w="70" w:type="dxa"/>
              <w:bottom w:w="70" w:type="dxa"/>
              <w:left w:w="90" w:type="dxa"/>
              <w:right w:w="90" w:type="dxa"/>
            </w:tcMar>
          </w:tcPr>
          <w:p>
            <w:pPr>
              <w:spacing w:before="20" w:after="20"/>
            </w:pPr>
            <w:r>
              <w:rPr>
                <w:sz w:val="17"/>
              </w:rPr>
              <w:t>Target classification: Operator, Individual, or ALL.</w:t>
            </w:r>
          </w:p>
        </w:tc>
      </w:tr>
      <w:tr>
        <w:tc>
          <w:tcPr>
            <w:tcW w:type="dxa" w:w="3312"/>
            <w:shd w:fill="FFFFFF"/>
            <w:tcMar>
              <w:top w:w="70" w:type="dxa"/>
              <w:bottom w:w="70" w:type="dxa"/>
              <w:left w:w="90" w:type="dxa"/>
              <w:right w:w="90" w:type="dxa"/>
            </w:tcMar>
          </w:tcPr>
          <w:p>
            <w:pPr>
              <w:spacing w:before="20" w:after="20"/>
            </w:pPr>
            <w:r>
              <w:rPr>
                <w:b/>
                <w:color w:val="1E293B"/>
                <w:sz w:val="17"/>
              </w:rPr>
              <w:t>vehicle_model</w:t>
            </w:r>
          </w:p>
        </w:tc>
        <w:tc>
          <w:tcPr>
            <w:tcW w:type="dxa" w:w="3312"/>
            <w:shd w:fill="FFFFFF"/>
            <w:tcMar>
              <w:top w:w="70" w:type="dxa"/>
              <w:bottom w:w="70" w:type="dxa"/>
              <w:left w:w="90" w:type="dxa"/>
              <w:right w:w="90" w:type="dxa"/>
            </w:tcMar>
          </w:tcPr>
          <w:p>
            <w:pPr>
              <w:spacing w:before="20" w:after="20"/>
            </w:pPr>
            <w:r>
              <w:rPr>
                <w:color w:val="105E49"/>
                <w:sz w:val="17"/>
              </w:rPr>
              <w:t>VARCHAR(64)</w:t>
            </w:r>
          </w:p>
        </w:tc>
        <w:tc>
          <w:tcPr>
            <w:tcW w:type="dxa" w:w="3312"/>
            <w:shd w:fill="FFFFFF"/>
            <w:tcMar>
              <w:top w:w="70" w:type="dxa"/>
              <w:bottom w:w="70" w:type="dxa"/>
              <w:left w:w="90" w:type="dxa"/>
              <w:right w:w="90" w:type="dxa"/>
            </w:tcMar>
          </w:tcPr>
          <w:p>
            <w:pPr>
              <w:spacing w:before="20" w:after="20"/>
            </w:pPr>
            <w:r>
              <w:rPr>
                <w:sz w:val="17"/>
              </w:rPr>
              <w:t>Vehicle model (WagonR, Dzire, EC3, Tigor EV, or ALL).</w:t>
            </w:r>
          </w:p>
        </w:tc>
      </w:tr>
      <w:tr>
        <w:tc>
          <w:tcPr>
            <w:tcW w:type="dxa" w:w="3312"/>
            <w:shd w:fill="F8FAFC"/>
            <w:tcMar>
              <w:top w:w="70" w:type="dxa"/>
              <w:bottom w:w="70" w:type="dxa"/>
              <w:left w:w="90" w:type="dxa"/>
              <w:right w:w="90" w:type="dxa"/>
            </w:tcMar>
          </w:tcPr>
          <w:p>
            <w:pPr>
              <w:spacing w:before="20" w:after="20"/>
            </w:pPr>
            <w:r>
              <w:rPr>
                <w:b/>
                <w:color w:val="1E293B"/>
                <w:sz w:val="17"/>
              </w:rPr>
              <w:t>vehicle_number</w:t>
            </w:r>
          </w:p>
        </w:tc>
        <w:tc>
          <w:tcPr>
            <w:tcW w:type="dxa" w:w="3312"/>
            <w:shd w:fill="F8FAFC"/>
            <w:tcMar>
              <w:top w:w="70" w:type="dxa"/>
              <w:bottom w:w="70" w:type="dxa"/>
              <w:left w:w="90" w:type="dxa"/>
              <w:right w:w="90" w:type="dxa"/>
            </w:tcMar>
          </w:tcPr>
          <w:p>
            <w:pPr>
              <w:spacing w:before="20" w:after="20"/>
            </w:pPr>
            <w:r>
              <w:rPr>
                <w:color w:val="105E49"/>
                <w:sz w:val="17"/>
              </w:rPr>
              <w:t>VARCHAR(32)</w:t>
            </w:r>
          </w:p>
        </w:tc>
        <w:tc>
          <w:tcPr>
            <w:tcW w:type="dxa" w:w="3312"/>
            <w:shd w:fill="F8FAFC"/>
            <w:tcMar>
              <w:top w:w="70" w:type="dxa"/>
              <w:bottom w:w="70" w:type="dxa"/>
              <w:left w:w="90" w:type="dxa"/>
              <w:right w:w="90" w:type="dxa"/>
            </w:tcMar>
          </w:tcPr>
          <w:p>
            <w:pPr>
              <w:spacing w:before="20" w:after="20"/>
            </w:pPr>
            <w:r>
              <w:rPr>
                <w:sz w:val="17"/>
              </w:rPr>
              <w:t>Specific vehicle registration (e.g. TS09EA1001) for concessions or vehicle assignments.</w:t>
            </w:r>
          </w:p>
        </w:tc>
      </w:tr>
      <w:tr>
        <w:tc>
          <w:tcPr>
            <w:tcW w:type="dxa" w:w="3312"/>
            <w:shd w:fill="FFFFFF"/>
            <w:tcMar>
              <w:top w:w="70" w:type="dxa"/>
              <w:bottom w:w="70" w:type="dxa"/>
              <w:left w:w="90" w:type="dxa"/>
              <w:right w:w="90" w:type="dxa"/>
            </w:tcMar>
          </w:tcPr>
          <w:p>
            <w:pPr>
              <w:spacing w:before="20" w:after="20"/>
            </w:pPr>
            <w:r>
              <w:rPr>
                <w:b/>
                <w:color w:val="1E293B"/>
                <w:sz w:val="17"/>
              </w:rPr>
              <w:t>daily_rent</w:t>
            </w:r>
          </w:p>
        </w:tc>
        <w:tc>
          <w:tcPr>
            <w:tcW w:type="dxa" w:w="3312"/>
            <w:shd w:fill="FFFFFF"/>
            <w:tcMar>
              <w:top w:w="70" w:type="dxa"/>
              <w:bottom w:w="70" w:type="dxa"/>
              <w:left w:w="90" w:type="dxa"/>
              <w:right w:w="90" w:type="dxa"/>
            </w:tcMar>
          </w:tcPr>
          <w:p>
            <w:pPr>
              <w:spacing w:before="20" w:after="20"/>
            </w:pPr>
            <w:r>
              <w:rPr>
                <w:color w:val="105E49"/>
                <w:sz w:val="17"/>
              </w:rPr>
              <w:t>NUMERIC(10,2) NOT NULL</w:t>
            </w:r>
          </w:p>
        </w:tc>
        <w:tc>
          <w:tcPr>
            <w:tcW w:type="dxa" w:w="3312"/>
            <w:shd w:fill="FFFFFF"/>
            <w:tcMar>
              <w:top w:w="70" w:type="dxa"/>
              <w:bottom w:w="70" w:type="dxa"/>
              <w:left w:w="90" w:type="dxa"/>
              <w:right w:w="90" w:type="dxa"/>
            </w:tcMar>
          </w:tcPr>
          <w:p>
            <w:pPr>
              <w:spacing w:before="20" w:after="20"/>
            </w:pPr>
            <w:r>
              <w:rPr>
                <w:sz w:val="17"/>
              </w:rPr>
              <w:t>Base daily rent rate in ₹/day.</w:t>
            </w:r>
          </w:p>
        </w:tc>
      </w:tr>
      <w:tr>
        <w:tc>
          <w:tcPr>
            <w:tcW w:type="dxa" w:w="3312"/>
            <w:shd w:fill="F8FAFC"/>
            <w:tcMar>
              <w:top w:w="70" w:type="dxa"/>
              <w:bottom w:w="70" w:type="dxa"/>
              <w:left w:w="90" w:type="dxa"/>
              <w:right w:w="90" w:type="dxa"/>
            </w:tcMar>
          </w:tcPr>
          <w:p>
            <w:pPr>
              <w:spacing w:before="20" w:after="20"/>
            </w:pPr>
            <w:r>
              <w:rPr>
                <w:b/>
                <w:color w:val="1E293B"/>
                <w:sz w:val="17"/>
              </w:rPr>
              <w:t>daily_fee</w:t>
            </w:r>
          </w:p>
        </w:tc>
        <w:tc>
          <w:tcPr>
            <w:tcW w:type="dxa" w:w="3312"/>
            <w:shd w:fill="F8FAFC"/>
            <w:tcMar>
              <w:top w:w="70" w:type="dxa"/>
              <w:bottom w:w="70" w:type="dxa"/>
              <w:left w:w="90" w:type="dxa"/>
              <w:right w:w="90" w:type="dxa"/>
            </w:tcMar>
          </w:tcPr>
          <w:p>
            <w:pPr>
              <w:spacing w:before="20" w:after="20"/>
            </w:pPr>
            <w:r>
              <w:rPr>
                <w:color w:val="105E49"/>
                <w:sz w:val="17"/>
              </w:rPr>
              <w:t>NUMERIC(10,2) NOT NULL</w:t>
            </w:r>
          </w:p>
        </w:tc>
        <w:tc>
          <w:tcPr>
            <w:tcW w:type="dxa" w:w="3312"/>
            <w:shd w:fill="F8FAFC"/>
            <w:tcMar>
              <w:top w:w="70" w:type="dxa"/>
              <w:bottom w:w="70" w:type="dxa"/>
              <w:left w:w="90" w:type="dxa"/>
              <w:right w:w="90" w:type="dxa"/>
            </w:tcMar>
          </w:tcPr>
          <w:p>
            <w:pPr>
              <w:spacing w:before="20" w:after="20"/>
            </w:pPr>
            <w:r>
              <w:rPr>
                <w:sz w:val="17"/>
              </w:rPr>
              <w:t>Daily indemnity fee in ₹/day (standard ₹30.00; ₹0.00 for Mumbai/waivers).</w:t>
            </w:r>
          </w:p>
        </w:tc>
      </w:tr>
      <w:tr>
        <w:tc>
          <w:tcPr>
            <w:tcW w:type="dxa" w:w="3312"/>
            <w:shd w:fill="FFFFFF"/>
            <w:tcMar>
              <w:top w:w="70" w:type="dxa"/>
              <w:bottom w:w="70" w:type="dxa"/>
              <w:left w:w="90" w:type="dxa"/>
              <w:right w:w="90" w:type="dxa"/>
            </w:tcMar>
          </w:tcPr>
          <w:p>
            <w:pPr>
              <w:spacing w:before="20" w:after="20"/>
            </w:pPr>
            <w:r>
              <w:rPr>
                <w:b/>
                <w:color w:val="1E293B"/>
                <w:sz w:val="17"/>
              </w:rPr>
              <w:t>is_fee_waiver</w:t>
            </w:r>
          </w:p>
        </w:tc>
        <w:tc>
          <w:tcPr>
            <w:tcW w:type="dxa" w:w="3312"/>
            <w:shd w:fill="FFFFFF"/>
            <w:tcMar>
              <w:top w:w="70" w:type="dxa"/>
              <w:bottom w:w="70" w:type="dxa"/>
              <w:left w:w="90" w:type="dxa"/>
              <w:right w:w="90" w:type="dxa"/>
            </w:tcMar>
          </w:tcPr>
          <w:p>
            <w:pPr>
              <w:spacing w:before="20" w:after="20"/>
            </w:pPr>
            <w:r>
              <w:rPr>
                <w:color w:val="105E49"/>
                <w:sz w:val="17"/>
              </w:rPr>
              <w:t>BOOLEAN NOT NULL</w:t>
            </w:r>
          </w:p>
        </w:tc>
        <w:tc>
          <w:tcPr>
            <w:tcW w:type="dxa" w:w="3312"/>
            <w:shd w:fill="FFFFFF"/>
            <w:tcMar>
              <w:top w:w="70" w:type="dxa"/>
              <w:bottom w:w="70" w:type="dxa"/>
              <w:left w:w="90" w:type="dxa"/>
              <w:right w:w="90" w:type="dxa"/>
            </w:tcMar>
          </w:tcPr>
          <w:p>
            <w:pPr>
              <w:spacing w:before="20" w:after="20"/>
            </w:pPr>
            <w:r>
              <w:rPr>
                <w:sz w:val="17"/>
              </w:rPr>
              <w:t>Checkbox flag: True if indemnity fee is fully waived (₹0.00).</w:t>
            </w:r>
          </w:p>
        </w:tc>
      </w:tr>
      <w:tr>
        <w:tc>
          <w:tcPr>
            <w:tcW w:type="dxa" w:w="3312"/>
            <w:shd w:fill="F8FAFC"/>
            <w:tcMar>
              <w:top w:w="70" w:type="dxa"/>
              <w:bottom w:w="70" w:type="dxa"/>
              <w:left w:w="90" w:type="dxa"/>
              <w:right w:w="90" w:type="dxa"/>
            </w:tcMar>
          </w:tcPr>
          <w:p>
            <w:pPr>
              <w:spacing w:before="20" w:after="20"/>
            </w:pPr>
            <w:r>
              <w:rPr>
                <w:b/>
                <w:color w:val="1E293B"/>
                <w:sz w:val="17"/>
              </w:rPr>
              <w:t>metric_type</w:t>
            </w:r>
          </w:p>
        </w:tc>
        <w:tc>
          <w:tcPr>
            <w:tcW w:type="dxa" w:w="3312"/>
            <w:shd w:fill="F8FAFC"/>
            <w:tcMar>
              <w:top w:w="70" w:type="dxa"/>
              <w:bottom w:w="70" w:type="dxa"/>
              <w:left w:w="90" w:type="dxa"/>
              <w:right w:w="90" w:type="dxa"/>
            </w:tcMar>
          </w:tcPr>
          <w:p>
            <w:pPr>
              <w:spacing w:before="20" w:after="20"/>
            </w:pPr>
            <w:r>
              <w:rPr>
                <w:color w:val="105E49"/>
                <w:sz w:val="17"/>
              </w:rPr>
              <w:t>VARCHAR(32)</w:t>
            </w:r>
          </w:p>
        </w:tc>
        <w:tc>
          <w:tcPr>
            <w:tcW w:type="dxa" w:w="3312"/>
            <w:shd w:fill="F8FAFC"/>
            <w:tcMar>
              <w:top w:w="70" w:type="dxa"/>
              <w:bottom w:w="70" w:type="dxa"/>
              <w:left w:w="90" w:type="dxa"/>
              <w:right w:w="90" w:type="dxa"/>
            </w:tcMar>
          </w:tcPr>
          <w:p>
            <w:pPr>
              <w:spacing w:before="20" w:after="20"/>
            </w:pPr>
            <w:r>
              <w:rPr>
                <w:sz w:val="17"/>
              </w:rPr>
              <w:t>Metric for slabs: UBER_TRIPS, OLA_TRIPS, or TOTAL_TRIPS.</w:t>
            </w:r>
          </w:p>
        </w:tc>
      </w:tr>
      <w:tr>
        <w:tc>
          <w:tcPr>
            <w:tcW w:type="dxa" w:w="3312"/>
            <w:shd w:fill="FFFFFF"/>
            <w:tcMar>
              <w:top w:w="70" w:type="dxa"/>
              <w:bottom w:w="70" w:type="dxa"/>
              <w:left w:w="90" w:type="dxa"/>
              <w:right w:w="90" w:type="dxa"/>
            </w:tcMar>
          </w:tcPr>
          <w:p>
            <w:pPr>
              <w:spacing w:before="20" w:after="20"/>
            </w:pPr>
            <w:r>
              <w:rPr>
                <w:b/>
                <w:color w:val="1E293B"/>
                <w:sz w:val="17"/>
              </w:rPr>
              <w:t>trip_min / trip_max</w:t>
            </w:r>
          </w:p>
        </w:tc>
        <w:tc>
          <w:tcPr>
            <w:tcW w:type="dxa" w:w="3312"/>
            <w:shd w:fill="FFFFFF"/>
            <w:tcMar>
              <w:top w:w="70" w:type="dxa"/>
              <w:bottom w:w="70" w:type="dxa"/>
              <w:left w:w="90" w:type="dxa"/>
              <w:right w:w="90" w:type="dxa"/>
            </w:tcMar>
          </w:tcPr>
          <w:p>
            <w:pPr>
              <w:spacing w:before="20" w:after="20"/>
            </w:pPr>
            <w:r>
              <w:rPr>
                <w:color w:val="105E49"/>
                <w:sz w:val="17"/>
              </w:rPr>
              <w:t>INT / INT</w:t>
            </w:r>
          </w:p>
        </w:tc>
        <w:tc>
          <w:tcPr>
            <w:tcW w:type="dxa" w:w="3312"/>
            <w:shd w:fill="FFFFFF"/>
            <w:tcMar>
              <w:top w:w="70" w:type="dxa"/>
              <w:bottom w:w="70" w:type="dxa"/>
              <w:left w:w="90" w:type="dxa"/>
              <w:right w:w="90" w:type="dxa"/>
            </w:tcMar>
          </w:tcPr>
          <w:p>
            <w:pPr>
              <w:spacing w:before="20" w:after="20"/>
            </w:pPr>
            <w:r>
              <w:rPr>
                <w:sz w:val="17"/>
              </w:rPr>
              <w:t>Weekly completed trip bracket range (e.g. 55 to 64 trips).</w:t>
            </w:r>
          </w:p>
        </w:tc>
      </w:tr>
      <w:tr>
        <w:tc>
          <w:tcPr>
            <w:tcW w:type="dxa" w:w="3312"/>
            <w:shd w:fill="F8FAFC"/>
            <w:tcMar>
              <w:top w:w="70" w:type="dxa"/>
              <w:bottom w:w="70" w:type="dxa"/>
              <w:left w:w="90" w:type="dxa"/>
              <w:right w:w="90" w:type="dxa"/>
            </w:tcMar>
          </w:tcPr>
          <w:p>
            <w:pPr>
              <w:spacing w:before="20" w:after="20"/>
            </w:pPr>
            <w:r>
              <w:rPr>
                <w:b/>
                <w:color w:val="1E293B"/>
                <w:sz w:val="17"/>
              </w:rPr>
              <w:t>valid_from / valid_to</w:t>
            </w:r>
          </w:p>
        </w:tc>
        <w:tc>
          <w:tcPr>
            <w:tcW w:type="dxa" w:w="3312"/>
            <w:shd w:fill="F8FAFC"/>
            <w:tcMar>
              <w:top w:w="70" w:type="dxa"/>
              <w:bottom w:w="70" w:type="dxa"/>
              <w:left w:w="90" w:type="dxa"/>
              <w:right w:w="90" w:type="dxa"/>
            </w:tcMar>
          </w:tcPr>
          <w:p>
            <w:pPr>
              <w:spacing w:before="20" w:after="20"/>
            </w:pPr>
            <w:r>
              <w:rPr>
                <w:color w:val="105E49"/>
                <w:sz w:val="17"/>
              </w:rPr>
              <w:t>DATE / DATE</w:t>
            </w:r>
          </w:p>
        </w:tc>
        <w:tc>
          <w:tcPr>
            <w:tcW w:type="dxa" w:w="3312"/>
            <w:shd w:fill="F8FAFC"/>
            <w:tcMar>
              <w:top w:w="70" w:type="dxa"/>
              <w:bottom w:w="70" w:type="dxa"/>
              <w:left w:w="90" w:type="dxa"/>
              <w:right w:w="90" w:type="dxa"/>
            </w:tcMar>
          </w:tcPr>
          <w:p>
            <w:pPr>
              <w:spacing w:before="20" w:after="20"/>
            </w:pPr>
            <w:r>
              <w:rPr>
                <w:sz w:val="17"/>
              </w:rPr>
              <w:t>Enforced effective period dates (e.g. 2026-01-01 to 9999-12-31).</w:t>
            </w:r>
          </w:p>
        </w:tc>
      </w:tr>
      <w:tr>
        <w:tc>
          <w:tcPr>
            <w:tcW w:type="dxa" w:w="3312"/>
            <w:shd w:fill="FFFFFF"/>
            <w:tcMar>
              <w:top w:w="70" w:type="dxa"/>
              <w:bottom w:w="70" w:type="dxa"/>
              <w:left w:w="90" w:type="dxa"/>
              <w:right w:w="90" w:type="dxa"/>
            </w:tcMar>
          </w:tcPr>
          <w:p>
            <w:pPr>
              <w:spacing w:before="20" w:after="20"/>
            </w:pPr>
            <w:r>
              <w:rPr>
                <w:b/>
                <w:color w:val="1E293B"/>
                <w:sz w:val="17"/>
              </w:rPr>
              <w:t>reason_or_notes</w:t>
            </w:r>
          </w:p>
        </w:tc>
        <w:tc>
          <w:tcPr>
            <w:tcW w:type="dxa" w:w="3312"/>
            <w:shd w:fill="FFFFFF"/>
            <w:tcMar>
              <w:top w:w="70" w:type="dxa"/>
              <w:bottom w:w="70" w:type="dxa"/>
              <w:left w:w="90" w:type="dxa"/>
              <w:right w:w="90" w:type="dxa"/>
            </w:tcMar>
          </w:tcPr>
          <w:p>
            <w:pPr>
              <w:spacing w:before="20" w:after="20"/>
            </w:pPr>
            <w:r>
              <w:rPr>
                <w:color w:val="105E49"/>
                <w:sz w:val="17"/>
              </w:rPr>
              <w:t>TEXT</w:t>
            </w:r>
          </w:p>
        </w:tc>
        <w:tc>
          <w:tcPr>
            <w:tcW w:type="dxa" w:w="3312"/>
            <w:shd w:fill="FFFFFF"/>
            <w:tcMar>
              <w:top w:w="70" w:type="dxa"/>
              <w:bottom w:w="70" w:type="dxa"/>
              <w:left w:w="90" w:type="dxa"/>
              <w:right w:w="90" w:type="dxa"/>
            </w:tcMar>
          </w:tcPr>
          <w:p>
            <w:pPr>
              <w:spacing w:before="20" w:after="20"/>
            </w:pPr>
            <w:r>
              <w:rPr>
                <w:sz w:val="17"/>
              </w:rPr>
              <w:t>Justification notes, concession reason, or agreement reference.</w:t>
            </w:r>
          </w:p>
        </w:tc>
      </w:tr>
      <w:tr>
        <w:tc>
          <w:tcPr>
            <w:tcW w:type="dxa" w:w="3312"/>
            <w:shd w:fill="F8FAFC"/>
            <w:tcMar>
              <w:top w:w="70" w:type="dxa"/>
              <w:bottom w:w="70" w:type="dxa"/>
              <w:left w:w="90" w:type="dxa"/>
              <w:right w:w="90" w:type="dxa"/>
            </w:tcMar>
          </w:tcPr>
          <w:p>
            <w:pPr>
              <w:spacing w:before="20" w:after="20"/>
            </w:pPr>
            <w:r>
              <w:rPr>
                <w:b/>
                <w:color w:val="1E293B"/>
                <w:sz w:val="17"/>
              </w:rPr>
              <w:t>approved_by / status</w:t>
            </w:r>
          </w:p>
        </w:tc>
        <w:tc>
          <w:tcPr>
            <w:tcW w:type="dxa" w:w="3312"/>
            <w:shd w:fill="F8FAFC"/>
            <w:tcMar>
              <w:top w:w="70" w:type="dxa"/>
              <w:bottom w:w="70" w:type="dxa"/>
              <w:left w:w="90" w:type="dxa"/>
              <w:right w:w="90" w:type="dxa"/>
            </w:tcMar>
          </w:tcPr>
          <w:p>
            <w:pPr>
              <w:spacing w:before="20" w:after="20"/>
            </w:pPr>
            <w:r>
              <w:rPr>
                <w:color w:val="105E49"/>
                <w:sz w:val="17"/>
              </w:rPr>
              <w:t>VARCHAR(64) / VARCHAR(32)</w:t>
            </w:r>
          </w:p>
        </w:tc>
        <w:tc>
          <w:tcPr>
            <w:tcW w:type="dxa" w:w="3312"/>
            <w:shd w:fill="F8FAFC"/>
            <w:tcMar>
              <w:top w:w="70" w:type="dxa"/>
              <w:bottom w:w="70" w:type="dxa"/>
              <w:left w:w="90" w:type="dxa"/>
              <w:right w:w="90" w:type="dxa"/>
            </w:tcMar>
          </w:tcPr>
          <w:p>
            <w:pPr>
              <w:spacing w:before="20" w:after="20"/>
            </w:pPr>
            <w:r>
              <w:rPr>
                <w:sz w:val="17"/>
              </w:rPr>
              <w:t>Approving manager (e.g. Operations Head) and status (Active, Pending, Rejected).</w:t>
            </w:r>
          </w:p>
        </w:tc>
      </w:tr>
    </w:tbl>
    <w:p>
      <w:pPr>
        <w:pStyle w:val="Heading1"/>
        <w:spacing w:before="280" w:after="120"/>
      </w:pPr>
      <w:r>
        <w:rPr>
          <w:color w:val="105E49"/>
          <w:sz w:val="26"/>
        </w:rPr>
        <w:t>4. What Was Done: Next Step (Using Table Data for Live Tables &amp; Hisaab)</w:t>
      </w:r>
    </w:p>
    <w:p>
      <w:pPr>
        <w:spacing w:after="120"/>
      </w:pPr>
      <w:r>
        <w:t>To enable promoting tested records from public.portal_rental_plans into the live production tables for daily rent calculation and Hisaab weekly settlements, we created and tested the promotion script:</w:t>
        <w:br/>
        <w:t>File: backend-main/Rental Final Table/sync_portal_to_rental_tables.py</w:t>
        <w:br/>
        <w:br/>
        <w:t>How the data routes into the live tables:</w:t>
      </w:r>
    </w:p>
    <w:tbl>
      <w:tblPr>
        <w:tblW w:type="auto" w:w="0"/>
        <w:jc w:val="center"/>
        <w:tblLook w:firstColumn="1" w:firstRow="1" w:lastColumn="0" w:lastRow="0" w:noHBand="0" w:noVBand="1" w:val="04A0"/>
      </w:tblPr>
      <w:tblGrid>
        <w:gridCol w:w="3312"/>
        <w:gridCol w:w="3312"/>
        <w:gridCol w:w="3312"/>
      </w:tblGrid>
      <w:tr>
        <w:tc>
          <w:tcPr>
            <w:tcW w:type="dxa" w:w="3312"/>
            <w:shd w:fill="105e49"/>
            <w:tcMar>
              <w:top w:w="120" w:type="dxa"/>
              <w:bottom w:w="120" w:type="dxa"/>
              <w:left w:w="140" w:type="dxa"/>
              <w:right w:w="140" w:type="dxa"/>
            </w:tcMar>
          </w:tcPr>
          <w:p>
            <w:r>
              <w:rPr>
                <w:b/>
                <w:color w:val="FFFFFF"/>
                <w:sz w:val="18"/>
              </w:rPr>
              <w:t>Form Plan Type</w:t>
            </w:r>
          </w:p>
        </w:tc>
        <w:tc>
          <w:tcPr>
            <w:tcW w:type="dxa" w:w="3312"/>
            <w:shd w:fill="105e49"/>
            <w:tcMar>
              <w:top w:w="120" w:type="dxa"/>
              <w:bottom w:w="120" w:type="dxa"/>
              <w:left w:w="140" w:type="dxa"/>
              <w:right w:w="140" w:type="dxa"/>
            </w:tcMar>
          </w:tcPr>
          <w:p>
            <w:r>
              <w:rPr>
                <w:b/>
                <w:color w:val="FFFFFF"/>
                <w:sz w:val="18"/>
              </w:rPr>
              <w:t>Target Live Production Table</w:t>
            </w:r>
          </w:p>
        </w:tc>
        <w:tc>
          <w:tcPr>
            <w:tcW w:type="dxa" w:w="3312"/>
            <w:shd w:fill="105e49"/>
            <w:tcMar>
              <w:top w:w="120" w:type="dxa"/>
              <w:bottom w:w="120" w:type="dxa"/>
              <w:left w:w="140" w:type="dxa"/>
              <w:right w:w="140" w:type="dxa"/>
            </w:tcMar>
          </w:tcPr>
          <w:p>
            <w:r>
              <w:rPr>
                <w:b/>
                <w:color w:val="FFFFFF"/>
                <w:sz w:val="18"/>
              </w:rPr>
              <w:t>Downstream Role in Hisaab</w:t>
            </w:r>
          </w:p>
        </w:tc>
      </w:tr>
      <w:tr>
        <w:tc>
          <w:tcPr>
            <w:tcW w:type="dxa" w:w="3312"/>
            <w:shd w:fill="FFFFFF"/>
            <w:tcMar>
              <w:top w:w="80" w:type="dxa"/>
              <w:bottom w:w="80" w:type="dxa"/>
              <w:left w:w="100" w:type="dxa"/>
              <w:right w:w="100" w:type="dxa"/>
            </w:tcMar>
          </w:tcPr>
          <w:p>
            <w:pPr>
              <w:spacing w:before="20" w:after="20"/>
            </w:pPr>
            <w:r>
              <w:rPr>
                <w:b/>
                <w:sz w:val="17"/>
              </w:rPr>
              <w:t>Vehicle Concession</w:t>
            </w:r>
          </w:p>
        </w:tc>
        <w:tc>
          <w:tcPr>
            <w:tcW w:type="dxa" w:w="3312"/>
            <w:shd w:fill="FFFFFF"/>
            <w:tcMar>
              <w:top w:w="80" w:type="dxa"/>
              <w:bottom w:w="80" w:type="dxa"/>
              <w:left w:w="100" w:type="dxa"/>
              <w:right w:w="100" w:type="dxa"/>
            </w:tcMar>
          </w:tcPr>
          <w:p>
            <w:pPr>
              <w:spacing w:before="20" w:after="20"/>
            </w:pPr>
            <w:r>
              <w:rPr>
                <w:b/>
                <w:color w:val="105E49"/>
                <w:sz w:val="17"/>
              </w:rPr>
              <w:t>public.rental_exceptions</w:t>
            </w:r>
          </w:p>
        </w:tc>
        <w:tc>
          <w:tcPr>
            <w:tcW w:type="dxa" w:w="3312"/>
            <w:shd w:fill="FFFFFF"/>
            <w:tcMar>
              <w:top w:w="80" w:type="dxa"/>
              <w:bottom w:w="80" w:type="dxa"/>
              <w:left w:w="100" w:type="dxa"/>
              <w:right w:w="100" w:type="dxa"/>
            </w:tcMar>
          </w:tcPr>
          <w:p>
            <w:pPr>
              <w:spacing w:before="20" w:after="20"/>
            </w:pPr>
            <w:r>
              <w:rPr>
                <w:sz w:val="17"/>
              </w:rPr>
              <w:t>Evaluated first: Overrides daily rent &amp; fee for approved date window during breakdowns or concessions.</w:t>
            </w:r>
          </w:p>
        </w:tc>
      </w:tr>
      <w:tr>
        <w:tc>
          <w:tcPr>
            <w:tcW w:type="dxa" w:w="3312"/>
            <w:shd w:fill="F8FAFC"/>
            <w:tcMar>
              <w:top w:w="80" w:type="dxa"/>
              <w:bottom w:w="80" w:type="dxa"/>
              <w:left w:w="100" w:type="dxa"/>
              <w:right w:w="100" w:type="dxa"/>
            </w:tcMar>
          </w:tcPr>
          <w:p>
            <w:pPr>
              <w:spacing w:before="20" w:after="20"/>
            </w:pPr>
            <w:r>
              <w:rPr>
                <w:b/>
                <w:sz w:val="17"/>
              </w:rPr>
              <w:t>Operator Agreement</w:t>
            </w:r>
          </w:p>
        </w:tc>
        <w:tc>
          <w:tcPr>
            <w:tcW w:type="dxa" w:w="3312"/>
            <w:shd w:fill="F8FAFC"/>
            <w:tcMar>
              <w:top w:w="80" w:type="dxa"/>
              <w:bottom w:w="80" w:type="dxa"/>
              <w:left w:w="100" w:type="dxa"/>
              <w:right w:w="100" w:type="dxa"/>
            </w:tcMar>
          </w:tcPr>
          <w:p>
            <w:pPr>
              <w:spacing w:before="20" w:after="20"/>
            </w:pPr>
            <w:r>
              <w:rPr>
                <w:b/>
                <w:color w:val="105E49"/>
                <w:sz w:val="17"/>
              </w:rPr>
              <w:t>public.rental_custom_partner_plans</w:t>
            </w:r>
          </w:p>
        </w:tc>
        <w:tc>
          <w:tcPr>
            <w:tcW w:type="dxa" w:w="3312"/>
            <w:shd w:fill="F8FAFC"/>
            <w:tcMar>
              <w:top w:w="80" w:type="dxa"/>
              <w:bottom w:w="80" w:type="dxa"/>
              <w:left w:w="100" w:type="dxa"/>
              <w:right w:w="100" w:type="dxa"/>
            </w:tcMar>
          </w:tcPr>
          <w:p>
            <w:pPr>
              <w:spacing w:before="20" w:after="20"/>
            </w:pPr>
            <w:r>
              <w:rPr>
                <w:sz w:val="17"/>
              </w:rPr>
              <w:t>Evaluated second: Flat rate agreements matched by partner_id and vehicle model/number.</w:t>
            </w:r>
          </w:p>
        </w:tc>
      </w:tr>
      <w:tr>
        <w:tc>
          <w:tcPr>
            <w:tcW w:type="dxa" w:w="3312"/>
            <w:shd w:fill="FFFFFF"/>
            <w:tcMar>
              <w:top w:w="80" w:type="dxa"/>
              <w:bottom w:w="80" w:type="dxa"/>
              <w:left w:w="100" w:type="dxa"/>
              <w:right w:w="100" w:type="dxa"/>
            </w:tcMar>
          </w:tcPr>
          <w:p>
            <w:pPr>
              <w:spacing w:before="20" w:after="20"/>
            </w:pPr>
            <w:r>
              <w:rPr>
                <w:b/>
                <w:sz w:val="17"/>
              </w:rPr>
              <w:t>Trip Milestone Slabs</w:t>
            </w:r>
          </w:p>
        </w:tc>
        <w:tc>
          <w:tcPr>
            <w:tcW w:type="dxa" w:w="3312"/>
            <w:shd w:fill="FFFFFF"/>
            <w:tcMar>
              <w:top w:w="80" w:type="dxa"/>
              <w:bottom w:w="80" w:type="dxa"/>
              <w:left w:w="100" w:type="dxa"/>
              <w:right w:w="100" w:type="dxa"/>
            </w:tcMar>
          </w:tcPr>
          <w:p>
            <w:pPr>
              <w:spacing w:before="20" w:after="20"/>
            </w:pPr>
            <w:r>
              <w:rPr>
                <w:b/>
                <w:color w:val="105E49"/>
                <w:sz w:val="17"/>
              </w:rPr>
              <w:t>public.rental_rate_slabs</w:t>
            </w:r>
          </w:p>
        </w:tc>
        <w:tc>
          <w:tcPr>
            <w:tcW w:type="dxa" w:w="3312"/>
            <w:shd w:fill="FFFFFF"/>
            <w:tcMar>
              <w:top w:w="80" w:type="dxa"/>
              <w:bottom w:w="80" w:type="dxa"/>
              <w:left w:w="100" w:type="dxa"/>
              <w:right w:w="100" w:type="dxa"/>
            </w:tcMar>
          </w:tcPr>
          <w:p>
            <w:pPr>
              <w:spacing w:before="20" w:after="20"/>
            </w:pPr>
            <w:r>
              <w:rPr>
                <w:sz w:val="17"/>
              </w:rPr>
              <w:t>Evaluated third: Trip milestone brackets for city fleet or custom operator tiers (Hamza, Subhan, Sarbas).</w:t>
            </w:r>
          </w:p>
        </w:tc>
      </w:tr>
      <w:tr>
        <w:tc>
          <w:tcPr>
            <w:tcW w:type="dxa" w:w="3312"/>
            <w:shd w:fill="F8FAFC"/>
            <w:tcMar>
              <w:top w:w="80" w:type="dxa"/>
              <w:bottom w:w="80" w:type="dxa"/>
              <w:left w:w="100" w:type="dxa"/>
              <w:right w:w="100" w:type="dxa"/>
            </w:tcMar>
          </w:tcPr>
          <w:p>
            <w:pPr>
              <w:spacing w:before="20" w:after="20"/>
            </w:pPr>
            <w:r>
              <w:rPr>
                <w:b/>
                <w:sz w:val="17"/>
              </w:rPr>
              <w:t>Model Standard Rate</w:t>
            </w:r>
          </w:p>
        </w:tc>
        <w:tc>
          <w:tcPr>
            <w:tcW w:type="dxa" w:w="3312"/>
            <w:shd w:fill="F8FAFC"/>
            <w:tcMar>
              <w:top w:w="80" w:type="dxa"/>
              <w:bottom w:w="80" w:type="dxa"/>
              <w:left w:w="100" w:type="dxa"/>
              <w:right w:w="100" w:type="dxa"/>
            </w:tcMar>
          </w:tcPr>
          <w:p>
            <w:pPr>
              <w:spacing w:before="20" w:after="20"/>
            </w:pPr>
            <w:r>
              <w:rPr>
                <w:b/>
                <w:color w:val="105E49"/>
                <w:sz w:val="17"/>
              </w:rPr>
              <w:t>public.rental_model_baselines</w:t>
            </w:r>
          </w:p>
        </w:tc>
        <w:tc>
          <w:tcPr>
            <w:tcW w:type="dxa" w:w="3312"/>
            <w:shd w:fill="F8FAFC"/>
            <w:tcMar>
              <w:top w:w="80" w:type="dxa"/>
              <w:bottom w:w="80" w:type="dxa"/>
              <w:left w:w="100" w:type="dxa"/>
              <w:right w:w="100" w:type="dxa"/>
            </w:tcMar>
          </w:tcPr>
          <w:p>
            <w:pPr>
              <w:spacing w:before="20" w:after="20"/>
            </w:pPr>
            <w:r>
              <w:rPr>
                <w:sz w:val="17"/>
              </w:rPr>
              <w:t>Evaluated fourth: Model fallback baseline rate (WagonR, Dzire, EC3).</w:t>
            </w:r>
          </w:p>
        </w:tc>
      </w:tr>
      <w:tr>
        <w:tc>
          <w:tcPr>
            <w:tcW w:type="dxa" w:w="3312"/>
            <w:shd w:fill="FFFFFF"/>
            <w:tcMar>
              <w:top w:w="80" w:type="dxa"/>
              <w:bottom w:w="80" w:type="dxa"/>
              <w:left w:w="100" w:type="dxa"/>
              <w:right w:w="100" w:type="dxa"/>
            </w:tcMar>
          </w:tcPr>
          <w:p>
            <w:pPr>
              <w:spacing w:before="20" w:after="20"/>
            </w:pPr>
            <w:r>
              <w:rPr>
                <w:b/>
                <w:sz w:val="17"/>
              </w:rPr>
              <w:t>Indemnity Policy &amp; Waiver</w:t>
            </w:r>
          </w:p>
        </w:tc>
        <w:tc>
          <w:tcPr>
            <w:tcW w:type="dxa" w:w="3312"/>
            <w:shd w:fill="FFFFFF"/>
            <w:tcMar>
              <w:top w:w="80" w:type="dxa"/>
              <w:bottom w:w="80" w:type="dxa"/>
              <w:left w:w="100" w:type="dxa"/>
              <w:right w:w="100" w:type="dxa"/>
            </w:tcMar>
          </w:tcPr>
          <w:p>
            <w:pPr>
              <w:spacing w:before="20" w:after="20"/>
            </w:pPr>
            <w:r>
              <w:rPr>
                <w:b/>
                <w:color w:val="105E49"/>
                <w:sz w:val="17"/>
              </w:rPr>
              <w:t>public.rental_fee_rules</w:t>
            </w:r>
          </w:p>
        </w:tc>
        <w:tc>
          <w:tcPr>
            <w:tcW w:type="dxa" w:w="3312"/>
            <w:shd w:fill="FFFFFF"/>
            <w:tcMar>
              <w:top w:w="80" w:type="dxa"/>
              <w:bottom w:w="80" w:type="dxa"/>
              <w:left w:w="100" w:type="dxa"/>
              <w:right w:w="100" w:type="dxa"/>
            </w:tcMar>
          </w:tcPr>
          <w:p>
            <w:pPr>
              <w:spacing w:before="20" w:after="20"/>
            </w:pPr>
            <w:r>
              <w:rPr>
                <w:sz w:val="17"/>
              </w:rPr>
              <w:t>Cross-cutting: Injected into indemnity fee resolution (₹0 fee waiver or partner rate).</w:t>
            </w:r>
          </w:p>
        </w:tc>
      </w:tr>
      <w:tr>
        <w:tc>
          <w:tcPr>
            <w:tcW w:type="dxa" w:w="3312"/>
            <w:shd w:fill="F8FAFC"/>
            <w:tcMar>
              <w:top w:w="80" w:type="dxa"/>
              <w:bottom w:w="80" w:type="dxa"/>
              <w:left w:w="100" w:type="dxa"/>
              <w:right w:w="100" w:type="dxa"/>
            </w:tcMar>
          </w:tcPr>
          <w:p>
            <w:pPr>
              <w:spacing w:before="20" w:after="20"/>
            </w:pPr>
            <w:r>
              <w:rPr>
                <w:b/>
                <w:sz w:val="17"/>
              </w:rPr>
              <w:t>Master City Plan</w:t>
            </w:r>
          </w:p>
        </w:tc>
        <w:tc>
          <w:tcPr>
            <w:tcW w:type="dxa" w:w="3312"/>
            <w:shd w:fill="F8FAFC"/>
            <w:tcMar>
              <w:top w:w="80" w:type="dxa"/>
              <w:bottom w:w="80" w:type="dxa"/>
              <w:left w:w="100" w:type="dxa"/>
              <w:right w:w="100" w:type="dxa"/>
            </w:tcMar>
          </w:tcPr>
          <w:p>
            <w:pPr>
              <w:spacing w:before="20" w:after="20"/>
            </w:pPr>
            <w:r>
              <w:rPr>
                <w:b/>
                <w:color w:val="105E49"/>
                <w:sz w:val="17"/>
              </w:rPr>
              <w:t>public.core_rental_plans</w:t>
            </w:r>
          </w:p>
        </w:tc>
        <w:tc>
          <w:tcPr>
            <w:tcW w:type="dxa" w:w="3312"/>
            <w:shd w:fill="F8FAFC"/>
            <w:tcMar>
              <w:top w:w="80" w:type="dxa"/>
              <w:bottom w:w="80" w:type="dxa"/>
              <w:left w:w="100" w:type="dxa"/>
              <w:right w:w="100" w:type="dxa"/>
            </w:tcMar>
          </w:tcPr>
          <w:p>
            <w:pPr>
              <w:spacing w:before="20" w:after="20"/>
            </w:pPr>
            <w:r>
              <w:rPr>
                <w:sz w:val="17"/>
              </w:rPr>
              <w:t>Evaluated fifth: City master plan catalogue with default rates.</w:t>
            </w:r>
          </w:p>
        </w:tc>
      </w:tr>
    </w:tbl>
    <w:p>
      <w:pPr>
        <w:spacing w:before="160" w:after="200"/>
      </w:pPr>
      <w:r>
        <w:t>Downstream Settlement Flow into Hisaab:</w:t>
        <w:br/>
        <w:t>1. Daily Rent Calculation: The stored procedure CALL public.sp_calculate_daily_rent() reads the live tables and writes to public.daily_rent_log with applied daily rent, indemnity fee, and lineage foreign keys.</w:t>
        <w:br/>
        <w:t>2. Weekly Hisaab Settlement Rollup: The stored procedure CALL public.sp_sync_rent_to_hisaab() rolls up daily_rent_log into hisaab_daily_ledger and hisaab_vehicle_weekly for weekly driver and operator settlement workbooks.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