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0"/>
        </w:rPr>
        <w:t>TECHNICAL AUDIT REPORT &amp; MEMORANDUM</w:t>
      </w:r>
    </w:p>
    <w:p>
      <w:pPr>
        <w:spacing w:after="280"/>
      </w:pPr>
      <w:r>
        <w:rPr>
          <w:rFonts w:ascii="Calibri" w:hAnsi="Calibri"/>
          <w:i/>
          <w:color w:val="595959"/>
          <w:sz w:val="24"/>
        </w:rPr>
        <w:t>Operational Vulnerabilities in Excel Hisaab Workbooks, Revenue Leakage Analysis &amp; Migration to the Automated Rental Engine</w:t>
      </w:r>
    </w:p>
    <w:tbl>
      <w:tblPr>
        <w:tblW w:type="auto" w:w="0"/>
        <w:jc w:val="center"/>
        <w:tblLook w:firstColumn="1" w:firstRow="1" w:lastColumn="0" w:lastRow="0" w:noHBand="0" w:noVBand="1" w:val="04A0"/>
      </w:tblPr>
      <w:tblGrid>
        <w:gridCol w:w="4680"/>
        <w:gridCol w:w="4680"/>
      </w:tblGrid>
      <w:tr>
        <w:tc>
          <w:tcPr>
            <w:tcW w:type="dxa" w:w="3168"/>
            <w:shd w:fill="F2F2F2"/>
            <w:tcMar>
              <w:top w:w="60" w:type="dxa"/>
              <w:bottom w:w="60" w:type="dxa"/>
              <w:left w:w="100" w:type="dxa"/>
              <w:right w:w="100" w:type="dxa"/>
            </w:tcMar>
          </w:tcPr>
          <w:p>
            <w:pPr>
              <w:spacing w:after="20"/>
            </w:pPr>
            <w:r>
              <w:rPr>
                <w:b/>
                <w:color w:val="262626"/>
                <w:sz w:val="19"/>
              </w:rPr>
              <w:t>Target Audience:</w:t>
            </w:r>
          </w:p>
        </w:tc>
        <w:tc>
          <w:tcPr>
            <w:tcW w:type="dxa" w:w="6192"/>
            <w:tcMar>
              <w:top w:w="60" w:type="dxa"/>
              <w:bottom w:w="60" w:type="dxa"/>
              <w:left w:w="100" w:type="dxa"/>
              <w:right w:w="100" w:type="dxa"/>
            </w:tcMar>
          </w:tcPr>
          <w:p>
            <w:pPr>
              <w:spacing w:after="20"/>
            </w:pPr>
            <w:r>
              <w:rPr>
                <w:color w:val="262626"/>
                <w:sz w:val="19"/>
              </w:rPr>
              <w:t>LetzRyd Executive Leadership, Finance &amp; Fleet Operations</w:t>
            </w:r>
          </w:p>
        </w:tc>
      </w:tr>
      <w:tr>
        <w:tc>
          <w:tcPr>
            <w:tcW w:type="dxa" w:w="3168"/>
            <w:shd w:fill="F2F2F2"/>
            <w:tcMar>
              <w:top w:w="60" w:type="dxa"/>
              <w:bottom w:w="60" w:type="dxa"/>
              <w:left w:w="100" w:type="dxa"/>
              <w:right w:w="100" w:type="dxa"/>
            </w:tcMar>
          </w:tcPr>
          <w:p>
            <w:pPr>
              <w:spacing w:after="20"/>
            </w:pPr>
            <w:r>
              <w:rPr>
                <w:b/>
                <w:color w:val="262626"/>
                <w:sz w:val="19"/>
              </w:rPr>
              <w:t>Audit Scope:</w:t>
            </w:r>
          </w:p>
        </w:tc>
        <w:tc>
          <w:tcPr>
            <w:tcW w:type="dxa" w:w="6192"/>
            <w:tcMar>
              <w:top w:w="60" w:type="dxa"/>
              <w:bottom w:w="60" w:type="dxa"/>
              <w:left w:w="100" w:type="dxa"/>
              <w:right w:w="100" w:type="dxa"/>
            </w:tcMar>
          </w:tcPr>
          <w:p>
            <w:pPr>
              <w:spacing w:after="20"/>
            </w:pPr>
            <w:r>
              <w:rPr>
                <w:color w:val="262626"/>
                <w:sz w:val="19"/>
              </w:rPr>
              <w:t>934 Active Vehicle-Partner Allocations (Bangalore, Hyderabad, Mumbai)</w:t>
            </w:r>
          </w:p>
        </w:tc>
      </w:tr>
      <w:tr>
        <w:tc>
          <w:tcPr>
            <w:tcW w:type="dxa" w:w="3168"/>
            <w:shd w:fill="F2F2F2"/>
            <w:tcMar>
              <w:top w:w="60" w:type="dxa"/>
              <w:bottom w:w="60" w:type="dxa"/>
              <w:left w:w="100" w:type="dxa"/>
              <w:right w:w="100" w:type="dxa"/>
            </w:tcMar>
          </w:tcPr>
          <w:p>
            <w:pPr>
              <w:spacing w:after="20"/>
            </w:pPr>
            <w:r>
              <w:rPr>
                <w:b/>
                <w:color w:val="262626"/>
                <w:sz w:val="19"/>
              </w:rPr>
              <w:t>Source Datasets:</w:t>
            </w:r>
          </w:p>
        </w:tc>
        <w:tc>
          <w:tcPr>
            <w:tcW w:type="dxa" w:w="6192"/>
            <w:tcMar>
              <w:top w:w="60" w:type="dxa"/>
              <w:bottom w:w="60" w:type="dxa"/>
              <w:left w:w="100" w:type="dxa"/>
              <w:right w:w="100" w:type="dxa"/>
            </w:tcMar>
          </w:tcPr>
          <w:p>
            <w:pPr>
              <w:spacing w:after="20"/>
            </w:pPr>
            <w:r>
              <w:rPr>
                <w:color w:val="262626"/>
                <w:sz w:val="19"/>
              </w:rPr>
              <w:t>Week 26, 27, and 37 Hisaab Settlement Workbooks vs. PostgreSQL Production Database</w:t>
            </w:r>
          </w:p>
        </w:tc>
      </w:tr>
      <w:tr>
        <w:tc>
          <w:tcPr>
            <w:tcW w:type="dxa" w:w="3168"/>
            <w:shd w:fill="F2F2F2"/>
            <w:tcMar>
              <w:top w:w="60" w:type="dxa"/>
              <w:bottom w:w="60" w:type="dxa"/>
              <w:left w:w="100" w:type="dxa"/>
              <w:right w:w="100" w:type="dxa"/>
            </w:tcMar>
          </w:tcPr>
          <w:p>
            <w:pPr>
              <w:spacing w:after="20"/>
            </w:pPr>
            <w:r>
              <w:rPr>
                <w:b/>
                <w:color w:val="262626"/>
                <w:sz w:val="19"/>
              </w:rPr>
              <w:t>Status &amp; Classification:</w:t>
            </w:r>
          </w:p>
        </w:tc>
        <w:tc>
          <w:tcPr>
            <w:tcW w:type="dxa" w:w="6192"/>
            <w:tcMar>
              <w:top w:w="60" w:type="dxa"/>
              <w:bottom w:w="60" w:type="dxa"/>
              <w:left w:w="100" w:type="dxa"/>
              <w:right w:w="100" w:type="dxa"/>
            </w:tcMar>
          </w:tcPr>
          <w:p>
            <w:pPr>
              <w:spacing w:after="20"/>
            </w:pPr>
            <w:r>
              <w:rPr>
                <w:color w:val="262626"/>
                <w:sz w:val="19"/>
              </w:rPr>
              <w:t>CONFIDENTIAL / INTERNAL AUDIT &amp; SYSTEM ARCHITECTURE</w:t>
            </w:r>
          </w:p>
        </w:tc>
      </w:tr>
    </w:tbl>
    <w:p>
      <w:pPr>
        <w:spacing w:after="160"/>
      </w:pPr>
    </w:p>
    <w:p>
      <w:pPr>
        <w:keepNext/>
        <w:spacing w:before="320" w:after="120"/>
      </w:pPr>
      <w:r>
        <w:rPr>
          <w:rFonts w:ascii="Calibri" w:hAnsi="Calibri"/>
          <w:b/>
          <w:color w:val="1F4E79"/>
          <w:sz w:val="30"/>
        </w:rPr>
        <w:t>1. Executive Summary</w:t>
      </w:r>
    </w:p>
    <w:p>
      <w:pPr>
        <w:spacing w:after="120" w:line="276" w:lineRule="auto"/>
      </w:pPr>
      <w:r>
        <w:rPr>
          <w:rFonts w:ascii="Calibri" w:hAnsi="Calibri"/>
          <w:i w:val="0"/>
          <w:color w:val="262626"/>
          <w:sz w:val="21"/>
        </w:rPr>
        <w:t>An exhaustive, line-by-line technical audit was performed across LetzRyd's historical fleet settlement workbooks (Uber and OLA Final Hisaab files across Bangalore, Hyderabad, and Mumbai), comparing Excel-calculated settlements directly against a standardized, automated PostgreSQL database rental engine. Across 934 evaluated active vehicle allocations, the mathematical business logic matches in over 85.55% of raw rows (and exceeds 98.2% across formula-driven cells).</w:t>
      </w:r>
    </w:p>
    <w:p>
      <w:pPr>
        <w:spacing w:after="120" w:line="276" w:lineRule="auto"/>
      </w:pPr>
      <w:r>
        <w:rPr>
          <w:rFonts w:ascii="Calibri" w:hAnsi="Calibri"/>
          <w:i w:val="0"/>
          <w:color w:val="262626"/>
          <w:sz w:val="21"/>
        </w:rPr>
        <w:t>However, this audit uncovered severe, systemic spreadsheet vulnerabilities that directly cause financial leakage, arbitrary driver overcharging, depot friction, and unquantifiable audit risks. Spreadsheets are currently being used not just to record settlements, but to alter commercial terms on the fly via manual cell overwrites without authorization, formula lineage, or management visibility.</w:t>
      </w:r>
    </w:p>
    <w:tbl>
      <w:tblPr>
        <w:tblW w:type="auto" w:w="0"/>
        <w:jc w:val="center"/>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left w:val="single" w:sz="24" w:space="0" w:color="1F4E79"/>
              <w:top w:val="none"/>
              <w:right w:val="none"/>
              <w:bottom w:val="none"/>
            </w:tcBorders>
          </w:tcPr>
          <w:p>
            <w:pPr>
              <w:spacing w:after="60"/>
            </w:pPr>
            <w:r>
              <w:rPr>
                <w:rFonts w:ascii="Calibri" w:hAnsi="Calibri"/>
                <w:b/>
                <w:color w:val="1F4E79"/>
                <w:sz w:val="20"/>
              </w:rPr>
              <w:t>[KEY AUDIT FINDINGS AT A GLANCE]</w:t>
              <w:br/>
            </w:r>
            <w:r>
              <w:rPr>
                <w:rFonts w:ascii="Calibri" w:hAnsi="Calibri"/>
                <w:color w:val="262626"/>
                <w:sz w:val="20"/>
              </w:rPr>
              <w:t>1. In Bangalore, 79 driver cells had formulas completely deleted and were manually hardcoded at ₹1,050/day (even with 0 trips on Ola and 0 trips on Uber), causing an unauthorized overcharge of ₹121/day (₹847/week) per driver, totaling ₹66,913/week in potential driver disputes.</w:t>
              <w:br/>
              <w:t>2. In Hyderabad, 35 Dzire vehicles were manually billed at ₹1,200/day in Week 26 despite the standard Dzire TBS slab being ₹1,100/day, creating week-over-week volatility.</w:t>
              <w:br/>
              <w:t>3. In Mumbai, 6 partners have legally signed contract terms at ₹1,050/day base in Plan.json, but the spreadsheet operator entered ₹1,000 gross, causing uncollected daily revenue.</w:t>
            </w:r>
          </w:p>
        </w:tc>
      </w:tr>
    </w:tbl>
    <w:p>
      <w:pPr>
        <w:spacing w:before="80" w:after="80"/>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Mar>
              <w:top w:w="80" w:type="dxa"/>
              <w:bottom w:w="80" w:type="dxa"/>
              <w:left w:w="100" w:type="dxa"/>
              <w:right w:w="100" w:type="dxa"/>
            </w:tcMar>
          </w:tcPr>
          <w:p>
            <w:pPr>
              <w:jc w:val="center"/>
            </w:pPr>
            <w:r>
              <w:rPr>
                <w:b/>
                <w:color w:val="FFFFFF"/>
                <w:sz w:val="19"/>
              </w:rPr>
              <w:t>Operating City</w:t>
            </w:r>
          </w:p>
        </w:tc>
        <w:tc>
          <w:tcPr>
            <w:tcW w:type="dxa" w:w="1560"/>
            <w:shd w:fill="1F4E79"/>
            <w:tcMar>
              <w:top w:w="80" w:type="dxa"/>
              <w:bottom w:w="80" w:type="dxa"/>
              <w:left w:w="100" w:type="dxa"/>
              <w:right w:w="100" w:type="dxa"/>
            </w:tcMar>
          </w:tcPr>
          <w:p>
            <w:pPr>
              <w:jc w:val="center"/>
            </w:pPr>
            <w:r>
              <w:rPr>
                <w:b/>
                <w:color w:val="FFFFFF"/>
                <w:sz w:val="19"/>
              </w:rPr>
              <w:t>Evaluated Fleet</w:t>
            </w:r>
          </w:p>
        </w:tc>
        <w:tc>
          <w:tcPr>
            <w:tcW w:type="dxa" w:w="1560"/>
            <w:shd w:fill="1F4E79"/>
            <w:tcMar>
              <w:top w:w="80" w:type="dxa"/>
              <w:bottom w:w="80" w:type="dxa"/>
              <w:left w:w="100" w:type="dxa"/>
              <w:right w:w="100" w:type="dxa"/>
            </w:tcMar>
          </w:tcPr>
          <w:p>
            <w:pPr>
              <w:jc w:val="center"/>
            </w:pPr>
            <w:r>
              <w:rPr>
                <w:b/>
                <w:color w:val="FFFFFF"/>
                <w:sz w:val="19"/>
              </w:rPr>
              <w:t>Matches</w:t>
            </w:r>
          </w:p>
        </w:tc>
        <w:tc>
          <w:tcPr>
            <w:tcW w:type="dxa" w:w="1560"/>
            <w:shd w:fill="1F4E79"/>
            <w:tcMar>
              <w:top w:w="80" w:type="dxa"/>
              <w:bottom w:w="80" w:type="dxa"/>
              <w:left w:w="100" w:type="dxa"/>
              <w:right w:w="100" w:type="dxa"/>
            </w:tcMar>
          </w:tcPr>
          <w:p>
            <w:pPr>
              <w:jc w:val="center"/>
            </w:pPr>
            <w:r>
              <w:rPr>
                <w:b/>
                <w:color w:val="FFFFFF"/>
                <w:sz w:val="19"/>
              </w:rPr>
              <w:t>Match %</w:t>
            </w:r>
          </w:p>
        </w:tc>
        <w:tc>
          <w:tcPr>
            <w:tcW w:type="dxa" w:w="1560"/>
            <w:shd w:fill="1F4E79"/>
            <w:tcMar>
              <w:top w:w="80" w:type="dxa"/>
              <w:bottom w:w="80" w:type="dxa"/>
              <w:left w:w="100" w:type="dxa"/>
              <w:right w:w="100" w:type="dxa"/>
            </w:tcMar>
          </w:tcPr>
          <w:p>
            <w:pPr>
              <w:jc w:val="center"/>
            </w:pPr>
            <w:r>
              <w:rPr>
                <w:b/>
                <w:color w:val="FFFFFF"/>
                <w:sz w:val="19"/>
              </w:rPr>
              <w:t>Spreadsheet Variances</w:t>
            </w:r>
          </w:p>
        </w:tc>
        <w:tc>
          <w:tcPr>
            <w:tcW w:type="dxa" w:w="1560"/>
            <w:shd w:fill="1F4E79"/>
            <w:tcMar>
              <w:top w:w="80" w:type="dxa"/>
              <w:bottom w:w="80" w:type="dxa"/>
              <w:left w:w="100" w:type="dxa"/>
              <w:right w:w="100" w:type="dxa"/>
            </w:tcMar>
          </w:tcPr>
          <w:p>
            <w:pPr>
              <w:jc w:val="center"/>
            </w:pPr>
            <w:r>
              <w:rPr>
                <w:b/>
                <w:color w:val="FFFFFF"/>
                <w:sz w:val="19"/>
              </w:rPr>
              <w:t>Variance %</w:t>
            </w:r>
          </w:p>
        </w:tc>
      </w:tr>
      <w:tr>
        <w:tc>
          <w:tcPr>
            <w:tcW w:type="dxa" w:w="1560"/>
            <w:tcMar>
              <w:top w:w="60" w:type="dxa"/>
              <w:bottom w:w="60" w:type="dxa"/>
              <w:left w:w="100" w:type="dxa"/>
              <w:right w:w="100" w:type="dxa"/>
            </w:tcMar>
          </w:tcPr>
          <w:p>
            <w:r>
              <w:rPr>
                <w:sz w:val="18"/>
              </w:rPr>
              <w:t>Bangalore</w:t>
            </w:r>
          </w:p>
        </w:tc>
        <w:tc>
          <w:tcPr>
            <w:tcW w:type="dxa" w:w="1560"/>
            <w:tcMar>
              <w:top w:w="60" w:type="dxa"/>
              <w:bottom w:w="60" w:type="dxa"/>
              <w:left w:w="100" w:type="dxa"/>
              <w:right w:w="100" w:type="dxa"/>
            </w:tcMar>
          </w:tcPr>
          <w:p>
            <w:pPr>
              <w:jc w:val="center"/>
            </w:pPr>
            <w:r>
              <w:rPr>
                <w:sz w:val="18"/>
              </w:rPr>
              <w:t>611</w:t>
            </w:r>
          </w:p>
        </w:tc>
        <w:tc>
          <w:tcPr>
            <w:tcW w:type="dxa" w:w="1560"/>
            <w:tcMar>
              <w:top w:w="60" w:type="dxa"/>
              <w:bottom w:w="60" w:type="dxa"/>
              <w:left w:w="100" w:type="dxa"/>
              <w:right w:w="100" w:type="dxa"/>
            </w:tcMar>
          </w:tcPr>
          <w:p>
            <w:pPr>
              <w:jc w:val="center"/>
            </w:pPr>
            <w:r>
              <w:rPr>
                <w:sz w:val="18"/>
              </w:rPr>
              <w:t>523</w:t>
            </w:r>
          </w:p>
        </w:tc>
        <w:tc>
          <w:tcPr>
            <w:tcW w:type="dxa" w:w="1560"/>
            <w:tcMar>
              <w:top w:w="60" w:type="dxa"/>
              <w:bottom w:w="60" w:type="dxa"/>
              <w:left w:w="100" w:type="dxa"/>
              <w:right w:w="100" w:type="dxa"/>
            </w:tcMar>
          </w:tcPr>
          <w:p>
            <w:pPr>
              <w:jc w:val="center"/>
            </w:pPr>
            <w:r>
              <w:rPr>
                <w:sz w:val="18"/>
              </w:rPr>
              <w:t>85.60%</w:t>
            </w:r>
          </w:p>
        </w:tc>
        <w:tc>
          <w:tcPr>
            <w:tcW w:type="dxa" w:w="1560"/>
            <w:tcMar>
              <w:top w:w="60" w:type="dxa"/>
              <w:bottom w:w="60" w:type="dxa"/>
              <w:left w:w="100" w:type="dxa"/>
              <w:right w:w="100" w:type="dxa"/>
            </w:tcMar>
          </w:tcPr>
          <w:p>
            <w:pPr>
              <w:jc w:val="center"/>
            </w:pPr>
            <w:r>
              <w:rPr>
                <w:sz w:val="18"/>
              </w:rPr>
              <w:t>88</w:t>
            </w:r>
          </w:p>
        </w:tc>
        <w:tc>
          <w:tcPr>
            <w:tcW w:type="dxa" w:w="1560"/>
            <w:tcMar>
              <w:top w:w="60" w:type="dxa"/>
              <w:bottom w:w="60" w:type="dxa"/>
              <w:left w:w="100" w:type="dxa"/>
              <w:right w:w="100" w:type="dxa"/>
            </w:tcMar>
          </w:tcPr>
          <w:p>
            <w:pPr>
              <w:jc w:val="center"/>
            </w:pPr>
            <w:r>
              <w:rPr>
                <w:sz w:val="18"/>
              </w:rPr>
              <w:t>14.40%</w:t>
            </w:r>
          </w:p>
        </w:tc>
      </w:tr>
      <w:tr>
        <w:tc>
          <w:tcPr>
            <w:tcW w:type="dxa" w:w="1560"/>
            <w:tcMar>
              <w:top w:w="60" w:type="dxa"/>
              <w:bottom w:w="60" w:type="dxa"/>
              <w:left w:w="100" w:type="dxa"/>
              <w:right w:w="100" w:type="dxa"/>
            </w:tcMar>
          </w:tcPr>
          <w:p>
            <w:r>
              <w:rPr>
                <w:sz w:val="18"/>
              </w:rPr>
              <w:t>Hyderabad</w:t>
            </w:r>
          </w:p>
        </w:tc>
        <w:tc>
          <w:tcPr>
            <w:tcW w:type="dxa" w:w="1560"/>
            <w:tcMar>
              <w:top w:w="60" w:type="dxa"/>
              <w:bottom w:w="60" w:type="dxa"/>
              <w:left w:w="100" w:type="dxa"/>
              <w:right w:w="100" w:type="dxa"/>
            </w:tcMar>
          </w:tcPr>
          <w:p>
            <w:pPr>
              <w:jc w:val="center"/>
            </w:pPr>
            <w:r>
              <w:rPr>
                <w:sz w:val="18"/>
              </w:rPr>
              <w:t>146</w:t>
            </w:r>
          </w:p>
        </w:tc>
        <w:tc>
          <w:tcPr>
            <w:tcW w:type="dxa" w:w="1560"/>
            <w:tcMar>
              <w:top w:w="60" w:type="dxa"/>
              <w:bottom w:w="60" w:type="dxa"/>
              <w:left w:w="100" w:type="dxa"/>
              <w:right w:w="100" w:type="dxa"/>
            </w:tcMar>
          </w:tcPr>
          <w:p>
            <w:pPr>
              <w:jc w:val="center"/>
            </w:pPr>
            <w:r>
              <w:rPr>
                <w:sz w:val="18"/>
              </w:rPr>
              <w:t>107</w:t>
            </w:r>
          </w:p>
        </w:tc>
        <w:tc>
          <w:tcPr>
            <w:tcW w:type="dxa" w:w="1560"/>
            <w:tcMar>
              <w:top w:w="60" w:type="dxa"/>
              <w:bottom w:w="60" w:type="dxa"/>
              <w:left w:w="100" w:type="dxa"/>
              <w:right w:w="100" w:type="dxa"/>
            </w:tcMar>
          </w:tcPr>
          <w:p>
            <w:pPr>
              <w:jc w:val="center"/>
            </w:pPr>
            <w:r>
              <w:rPr>
                <w:sz w:val="18"/>
              </w:rPr>
              <w:t>73.29%</w:t>
            </w:r>
          </w:p>
        </w:tc>
        <w:tc>
          <w:tcPr>
            <w:tcW w:type="dxa" w:w="1560"/>
            <w:tcMar>
              <w:top w:w="60" w:type="dxa"/>
              <w:bottom w:w="60" w:type="dxa"/>
              <w:left w:w="100" w:type="dxa"/>
              <w:right w:w="100" w:type="dxa"/>
            </w:tcMar>
          </w:tcPr>
          <w:p>
            <w:pPr>
              <w:jc w:val="center"/>
            </w:pPr>
            <w:r>
              <w:rPr>
                <w:sz w:val="18"/>
              </w:rPr>
              <w:t>39</w:t>
            </w:r>
          </w:p>
        </w:tc>
        <w:tc>
          <w:tcPr>
            <w:tcW w:type="dxa" w:w="1560"/>
            <w:tcMar>
              <w:top w:w="60" w:type="dxa"/>
              <w:bottom w:w="60" w:type="dxa"/>
              <w:left w:w="100" w:type="dxa"/>
              <w:right w:w="100" w:type="dxa"/>
            </w:tcMar>
          </w:tcPr>
          <w:p>
            <w:pPr>
              <w:jc w:val="center"/>
            </w:pPr>
            <w:r>
              <w:rPr>
                <w:sz w:val="18"/>
              </w:rPr>
              <w:t>26.71%</w:t>
            </w:r>
          </w:p>
        </w:tc>
      </w:tr>
      <w:tr>
        <w:tc>
          <w:tcPr>
            <w:tcW w:type="dxa" w:w="1560"/>
            <w:tcMar>
              <w:top w:w="60" w:type="dxa"/>
              <w:bottom w:w="60" w:type="dxa"/>
              <w:left w:w="100" w:type="dxa"/>
              <w:right w:w="100" w:type="dxa"/>
            </w:tcMar>
          </w:tcPr>
          <w:p>
            <w:r>
              <w:rPr>
                <w:sz w:val="18"/>
              </w:rPr>
              <w:t>Mumbai</w:t>
            </w:r>
          </w:p>
        </w:tc>
        <w:tc>
          <w:tcPr>
            <w:tcW w:type="dxa" w:w="1560"/>
            <w:tcMar>
              <w:top w:w="60" w:type="dxa"/>
              <w:bottom w:w="60" w:type="dxa"/>
              <w:left w:w="100" w:type="dxa"/>
              <w:right w:w="100" w:type="dxa"/>
            </w:tcMar>
          </w:tcPr>
          <w:p>
            <w:pPr>
              <w:jc w:val="center"/>
            </w:pPr>
            <w:r>
              <w:rPr>
                <w:sz w:val="18"/>
              </w:rPr>
              <w:t>177</w:t>
            </w:r>
          </w:p>
        </w:tc>
        <w:tc>
          <w:tcPr>
            <w:tcW w:type="dxa" w:w="1560"/>
            <w:tcMar>
              <w:top w:w="60" w:type="dxa"/>
              <w:bottom w:w="60" w:type="dxa"/>
              <w:left w:w="100" w:type="dxa"/>
              <w:right w:w="100" w:type="dxa"/>
            </w:tcMar>
          </w:tcPr>
          <w:p>
            <w:pPr>
              <w:jc w:val="center"/>
            </w:pPr>
            <w:r>
              <w:rPr>
                <w:sz w:val="18"/>
              </w:rPr>
              <w:t>169</w:t>
            </w:r>
          </w:p>
        </w:tc>
        <w:tc>
          <w:tcPr>
            <w:tcW w:type="dxa" w:w="1560"/>
            <w:tcMar>
              <w:top w:w="60" w:type="dxa"/>
              <w:bottom w:w="60" w:type="dxa"/>
              <w:left w:w="100" w:type="dxa"/>
              <w:right w:w="100" w:type="dxa"/>
            </w:tcMar>
          </w:tcPr>
          <w:p>
            <w:pPr>
              <w:jc w:val="center"/>
            </w:pPr>
            <w:r>
              <w:rPr>
                <w:sz w:val="18"/>
              </w:rPr>
              <w:t>95.48%</w:t>
            </w:r>
          </w:p>
        </w:tc>
        <w:tc>
          <w:tcPr>
            <w:tcW w:type="dxa" w:w="1560"/>
            <w:tcMar>
              <w:top w:w="60" w:type="dxa"/>
              <w:bottom w:w="60" w:type="dxa"/>
              <w:left w:w="100" w:type="dxa"/>
              <w:right w:w="100" w:type="dxa"/>
            </w:tcMar>
          </w:tcPr>
          <w:p>
            <w:pPr>
              <w:jc w:val="center"/>
            </w:pPr>
            <w:r>
              <w:rPr>
                <w:sz w:val="18"/>
              </w:rPr>
              <w:t>8</w:t>
            </w:r>
          </w:p>
        </w:tc>
        <w:tc>
          <w:tcPr>
            <w:tcW w:type="dxa" w:w="1560"/>
            <w:tcMar>
              <w:top w:w="60" w:type="dxa"/>
              <w:bottom w:w="60" w:type="dxa"/>
              <w:left w:w="100" w:type="dxa"/>
              <w:right w:w="100" w:type="dxa"/>
            </w:tcMar>
          </w:tcPr>
          <w:p>
            <w:pPr>
              <w:jc w:val="center"/>
            </w:pPr>
            <w:r>
              <w:rPr>
                <w:sz w:val="18"/>
              </w:rPr>
              <w:t>4.52%</w:t>
            </w:r>
          </w:p>
        </w:tc>
      </w:tr>
      <w:tr>
        <w:tc>
          <w:tcPr>
            <w:tcW w:type="dxa" w:w="1560"/>
            <w:tcMar>
              <w:top w:w="60" w:type="dxa"/>
              <w:bottom w:w="60" w:type="dxa"/>
              <w:left w:w="100" w:type="dxa"/>
              <w:right w:w="100" w:type="dxa"/>
            </w:tcMar>
            <w:shd w:fill="D9E1F2"/>
          </w:tcPr>
          <w:p>
            <w:r>
              <w:rPr>
                <w:b/>
                <w:sz w:val="18"/>
              </w:rPr>
              <w:t>Total Fleet</w:t>
            </w:r>
          </w:p>
        </w:tc>
        <w:tc>
          <w:tcPr>
            <w:tcW w:type="dxa" w:w="1560"/>
            <w:tcMar>
              <w:top w:w="60" w:type="dxa"/>
              <w:bottom w:w="60" w:type="dxa"/>
              <w:left w:w="100" w:type="dxa"/>
              <w:right w:w="100" w:type="dxa"/>
            </w:tcMar>
            <w:shd w:fill="D9E1F2"/>
          </w:tcPr>
          <w:p>
            <w:pPr>
              <w:jc w:val="center"/>
            </w:pPr>
            <w:r>
              <w:rPr>
                <w:b/>
                <w:sz w:val="18"/>
              </w:rPr>
              <w:t>934</w:t>
            </w:r>
          </w:p>
        </w:tc>
        <w:tc>
          <w:tcPr>
            <w:tcW w:type="dxa" w:w="1560"/>
            <w:tcMar>
              <w:top w:w="60" w:type="dxa"/>
              <w:bottom w:w="60" w:type="dxa"/>
              <w:left w:w="100" w:type="dxa"/>
              <w:right w:w="100" w:type="dxa"/>
            </w:tcMar>
            <w:shd w:fill="D9E1F2"/>
          </w:tcPr>
          <w:p>
            <w:pPr>
              <w:jc w:val="center"/>
            </w:pPr>
            <w:r>
              <w:rPr>
                <w:b/>
                <w:sz w:val="18"/>
              </w:rPr>
              <w:t>799</w:t>
            </w:r>
          </w:p>
        </w:tc>
        <w:tc>
          <w:tcPr>
            <w:tcW w:type="dxa" w:w="1560"/>
            <w:tcMar>
              <w:top w:w="60" w:type="dxa"/>
              <w:bottom w:w="60" w:type="dxa"/>
              <w:left w:w="100" w:type="dxa"/>
              <w:right w:w="100" w:type="dxa"/>
            </w:tcMar>
            <w:shd w:fill="D9E1F2"/>
          </w:tcPr>
          <w:p>
            <w:pPr>
              <w:jc w:val="center"/>
            </w:pPr>
            <w:r>
              <w:rPr>
                <w:b/>
                <w:sz w:val="18"/>
              </w:rPr>
              <w:t>85.55%</w:t>
            </w:r>
          </w:p>
        </w:tc>
        <w:tc>
          <w:tcPr>
            <w:tcW w:type="dxa" w:w="1560"/>
            <w:tcMar>
              <w:top w:w="60" w:type="dxa"/>
              <w:bottom w:w="60" w:type="dxa"/>
              <w:left w:w="100" w:type="dxa"/>
              <w:right w:w="100" w:type="dxa"/>
            </w:tcMar>
            <w:shd w:fill="D9E1F2"/>
          </w:tcPr>
          <w:p>
            <w:pPr>
              <w:jc w:val="center"/>
            </w:pPr>
            <w:r>
              <w:rPr>
                <w:b/>
                <w:sz w:val="18"/>
              </w:rPr>
              <w:t>135</w:t>
            </w:r>
          </w:p>
        </w:tc>
        <w:tc>
          <w:tcPr>
            <w:tcW w:type="dxa" w:w="1560"/>
            <w:tcMar>
              <w:top w:w="60" w:type="dxa"/>
              <w:bottom w:w="60" w:type="dxa"/>
              <w:left w:w="100" w:type="dxa"/>
              <w:right w:w="100" w:type="dxa"/>
            </w:tcMar>
            <w:shd w:fill="D9E1F2"/>
          </w:tcPr>
          <w:p>
            <w:pPr>
              <w:jc w:val="center"/>
            </w:pPr>
            <w:r>
              <w:rPr>
                <w:b/>
                <w:sz w:val="18"/>
              </w:rPr>
              <w:t>14.45%</w:t>
            </w:r>
          </w:p>
        </w:tc>
      </w:tr>
    </w:tbl>
    <w:p>
      <w:pPr>
        <w:spacing w:after="160"/>
      </w:pPr>
    </w:p>
    <w:p>
      <w:pPr>
        <w:keepNext/>
        <w:spacing w:before="320" w:after="120"/>
      </w:pPr>
      <w:r>
        <w:rPr>
          <w:rFonts w:ascii="Calibri" w:hAnsi="Calibri"/>
          <w:b/>
          <w:color w:val="1F4E79"/>
          <w:sz w:val="30"/>
        </w:rPr>
        <w:t>2. Systemic Spreadsheet Issues Affecting Fleet Rent</w:t>
      </w:r>
    </w:p>
    <w:p>
      <w:pPr>
        <w:keepNext/>
        <w:spacing w:before="240" w:after="80"/>
      </w:pPr>
      <w:r>
        <w:rPr>
          <w:rFonts w:ascii="Calibri" w:hAnsi="Calibri"/>
          <w:b/>
          <w:color w:val="1F4E79"/>
          <w:sz w:val="25"/>
        </w:rPr>
        <w:t>Issue 1: Formula Overwriting &amp; Arbitrary Penalty Hardcoding (Bangalore)</w:t>
      </w:r>
    </w:p>
    <w:p>
      <w:pPr>
        <w:spacing w:after="120" w:line="276" w:lineRule="auto"/>
      </w:pPr>
      <w:r>
        <w:rPr>
          <w:rFonts w:ascii="Calibri" w:hAnsi="Calibri"/>
          <w:b/>
          <w:color w:val="262626"/>
          <w:sz w:val="21"/>
        </w:rPr>
        <w:t xml:space="preserve">Mechanism: </w:t>
      </w:r>
      <w:r>
        <w:rPr>
          <w:rFonts w:ascii="Calibri" w:hAnsi="Calibri"/>
          <w:i w:val="0"/>
          <w:color w:val="262626"/>
          <w:sz w:val="21"/>
        </w:rPr>
        <w:t>The primary source of mismatch in Bangalore stems from operators manually overwriting Column N (Daily Rental Rate) with static numbers rather than letting business formulas evaluate.</w:t>
      </w:r>
    </w:p>
    <w:p>
      <w:pPr>
        <w:pStyle w:val="ListBullet"/>
        <w:spacing w:after="80" w:line="276" w:lineRule="auto"/>
      </w:pPr>
      <w:r>
        <w:rPr>
          <w:rFonts w:ascii="Calibri" w:hAnsi="Calibri"/>
          <w:b/>
          <w:color w:val="262626"/>
          <w:sz w:val="21"/>
        </w:rPr>
        <w:t xml:space="preserve">The 0-Trip Discrepancy: </w:t>
      </w:r>
      <w:r>
        <w:rPr>
          <w:rFonts w:ascii="Calibri" w:hAnsi="Calibri"/>
          <w:color w:val="262626"/>
          <w:sz w:val="21"/>
        </w:rPr>
        <w:t>In 79 audited rows, the driver recorded 0 Ola trips and 0 Uber trips. The standard Bangalore rate formula [AND(Individual, Ola=0, Uber&lt;=89)] clearly evaluates to ₹929.00/day.</w:t>
      </w:r>
    </w:p>
    <w:p>
      <w:pPr>
        <w:pStyle w:val="ListBullet"/>
        <w:spacing w:after="80" w:line="276" w:lineRule="auto"/>
      </w:pPr>
      <w:r>
        <w:rPr>
          <w:rFonts w:ascii="Calibri" w:hAnsi="Calibri"/>
          <w:b/>
          <w:color w:val="262626"/>
          <w:sz w:val="21"/>
        </w:rPr>
        <w:t xml:space="preserve">The Action: </w:t>
      </w:r>
      <w:r>
        <w:rPr>
          <w:rFonts w:ascii="Calibri" w:hAnsi="Calibri"/>
          <w:color w:val="262626"/>
          <w:sz w:val="21"/>
        </w:rPr>
        <w:t>Spreadsheet authors manually typed '1050' directly into the cell, with no formula attached (formula: None). This appears to be an operational attempt to penalize idle drivers.</w:t>
      </w:r>
    </w:p>
    <w:p>
      <w:pPr>
        <w:pStyle w:val="ListBullet"/>
        <w:spacing w:after="80" w:line="276" w:lineRule="auto"/>
      </w:pPr>
      <w:r>
        <w:rPr>
          <w:rFonts w:ascii="Calibri" w:hAnsi="Calibri"/>
          <w:b/>
          <w:color w:val="262626"/>
          <w:sz w:val="21"/>
        </w:rPr>
        <w:t xml:space="preserve">Financial &amp; Trust Impact: </w:t>
      </w:r>
      <w:r>
        <w:rPr>
          <w:rFonts w:ascii="Calibri" w:hAnsi="Calibri"/>
          <w:color w:val="262626"/>
          <w:sz w:val="21"/>
        </w:rPr>
        <w:t>Because this policy is not codified in signed driver rate cards or official agreements, drivers are overcharged by ₹121/day (₹847 for a 7-day week). Across 79 vehicles, this represents ₹66,913/week of unauthorized billing, triggering heated driver confrontations, union issues, and depot walkouts.</w:t>
      </w:r>
    </w:p>
    <w:p>
      <w:pPr>
        <w:keepNext/>
        <w:spacing w:before="240" w:after="80"/>
      </w:pPr>
      <w:r>
        <w:rPr>
          <w:rFonts w:ascii="Calibri" w:hAnsi="Calibri"/>
          <w:b/>
          <w:color w:val="1F4E79"/>
          <w:sz w:val="25"/>
        </w:rPr>
        <w:t>Issue 2: Model Slab Volatility &amp; Flip-Flopping (Hyderabad)</w:t>
      </w:r>
    </w:p>
    <w:p>
      <w:pPr>
        <w:spacing w:after="120" w:line="276" w:lineRule="auto"/>
      </w:pPr>
      <w:r>
        <w:rPr>
          <w:rFonts w:ascii="Calibri" w:hAnsi="Calibri"/>
          <w:b/>
          <w:color w:val="262626"/>
          <w:sz w:val="21"/>
        </w:rPr>
        <w:t xml:space="preserve">Standard Contract: </w:t>
      </w:r>
      <w:r>
        <w:rPr>
          <w:rFonts w:ascii="Calibri" w:hAnsi="Calibri"/>
          <w:i w:val="0"/>
          <w:color w:val="262626"/>
          <w:sz w:val="21"/>
        </w:rPr>
        <w:t>In Hyderabad, the Dzire rate card on the TBS plan specifies a baseline of ₹1,100/day for 0–49 trips, scaling down to ₹1,009 (50–59), ₹959 (60–69), and ₹899 (70+).</w:t>
      </w:r>
    </w:p>
    <w:p>
      <w:pPr>
        <w:pStyle w:val="ListBullet"/>
        <w:spacing w:after="80" w:line="276" w:lineRule="auto"/>
      </w:pPr>
      <w:r>
        <w:rPr>
          <w:rFonts w:ascii="Calibri" w:hAnsi="Calibri"/>
          <w:b/>
          <w:color w:val="262626"/>
          <w:sz w:val="21"/>
        </w:rPr>
        <w:t xml:space="preserve">Week 26 Hardcoding: </w:t>
      </w:r>
      <w:r>
        <w:rPr>
          <w:rFonts w:ascii="Calibri" w:hAnsi="Calibri"/>
          <w:color w:val="262626"/>
          <w:sz w:val="21"/>
        </w:rPr>
        <w:t>In Week 26, 35 Dzire vehicles had ₹1,200 manually typed into Column K without formula backing. For example, vehicle TG07T3219 (MD Khaleem Pasha) was billed ₹1,200/day in Week 26.</w:t>
      </w:r>
    </w:p>
    <w:p>
      <w:pPr>
        <w:pStyle w:val="ListBullet"/>
        <w:spacing w:after="80" w:line="276" w:lineRule="auto"/>
      </w:pPr>
      <w:r>
        <w:rPr>
          <w:rFonts w:ascii="Calibri" w:hAnsi="Calibri"/>
          <w:b/>
          <w:color w:val="262626"/>
          <w:sz w:val="21"/>
        </w:rPr>
        <w:t xml:space="preserve">Week 27 Reversion: </w:t>
      </w:r>
      <w:r>
        <w:rPr>
          <w:rFonts w:ascii="Calibri" w:hAnsi="Calibri"/>
          <w:color w:val="262626"/>
          <w:sz w:val="21"/>
        </w:rPr>
        <w:t>In Week 27, the exact same vehicle and driver were billed ₹1,100/day via the automated IFS formula.</w:t>
      </w:r>
    </w:p>
    <w:p>
      <w:pPr>
        <w:pStyle w:val="ListBullet"/>
        <w:spacing w:after="80" w:line="276" w:lineRule="auto"/>
      </w:pPr>
      <w:r>
        <w:rPr>
          <w:rFonts w:ascii="Calibri" w:hAnsi="Calibri"/>
          <w:b/>
          <w:color w:val="262626"/>
          <w:sz w:val="21"/>
        </w:rPr>
        <w:t xml:space="preserve">Operational Result: </w:t>
      </w:r>
      <w:r>
        <w:rPr>
          <w:rFonts w:ascii="Calibri" w:hAnsi="Calibri"/>
          <w:color w:val="262626"/>
          <w:sz w:val="21"/>
        </w:rPr>
        <w:t>This week-over-week volatility damages LetzRyd's reputation. When drivers ask why their daily rent jumped by ₹100/day and then fell back, fleet managers cannot provide an audit-backed answer.</w:t>
      </w:r>
    </w:p>
    <w:p>
      <w:pPr>
        <w:keepNext/>
        <w:spacing w:before="240" w:after="80"/>
      </w:pPr>
      <w:r>
        <w:rPr>
          <w:rFonts w:ascii="Calibri" w:hAnsi="Calibri"/>
          <w:b/>
          <w:color w:val="1F4E79"/>
          <w:sz w:val="25"/>
        </w:rPr>
        <w:t>Issue 3: Contract Drift &amp; Execution Gap (Mumbai)</w:t>
      </w:r>
    </w:p>
    <w:p>
      <w:pPr>
        <w:spacing w:after="120" w:line="276" w:lineRule="auto"/>
      </w:pPr>
      <w:r>
        <w:rPr>
          <w:rFonts w:ascii="Calibri" w:hAnsi="Calibri"/>
          <w:b/>
          <w:color w:val="262626"/>
          <w:sz w:val="21"/>
        </w:rPr>
        <w:t xml:space="preserve">The Reality: </w:t>
      </w:r>
      <w:r>
        <w:rPr>
          <w:rFonts w:ascii="Calibri" w:hAnsi="Calibri"/>
          <w:i w:val="0"/>
          <w:color w:val="262626"/>
          <w:sz w:val="21"/>
        </w:rPr>
        <w:t>In Mumbai, contracts signed in Plan.json specify negotiated base rates of ₹1,050/day (+ ₹30 indemnity = ₹1,080 gross) for specific fleet operators and premium drivers.</w:t>
      </w:r>
    </w:p>
    <w:p>
      <w:pPr>
        <w:pStyle w:val="ListBullet"/>
        <w:spacing w:after="80" w:line="276" w:lineRule="auto"/>
      </w:pPr>
      <w:r>
        <w:rPr>
          <w:rFonts w:ascii="Calibri" w:hAnsi="Calibri"/>
          <w:b/>
          <w:color w:val="262626"/>
          <w:sz w:val="21"/>
        </w:rPr>
        <w:t xml:space="preserve">Discrepancy: </w:t>
      </w:r>
      <w:r>
        <w:rPr>
          <w:rFonts w:ascii="Calibri" w:hAnsi="Calibri"/>
          <w:color w:val="262626"/>
          <w:sz w:val="21"/>
        </w:rPr>
        <w:t>In the Week 26 settlement sheet, the operator entered ₹1,000 gross (the standard WagonR rate of ₹970 + ₹30).</w:t>
      </w:r>
    </w:p>
    <w:p>
      <w:pPr>
        <w:pStyle w:val="ListBullet"/>
        <w:spacing w:after="80" w:line="276" w:lineRule="auto"/>
      </w:pPr>
      <w:r>
        <w:rPr>
          <w:rFonts w:ascii="Calibri" w:hAnsi="Calibri"/>
          <w:b/>
          <w:color w:val="262626"/>
          <w:sz w:val="21"/>
        </w:rPr>
        <w:t xml:space="preserve">Revenue Leakage: </w:t>
      </w:r>
      <w:r>
        <w:rPr>
          <w:rFonts w:ascii="Calibri" w:hAnsi="Calibri"/>
          <w:color w:val="262626"/>
          <w:sz w:val="21"/>
        </w:rPr>
        <w:t>Whether this was an unauthorized verbal concession, an unrecorded onboarding promotion, or simple operator laziness, LetzRyd surrendered ₹50 to ₹80/day per vehicle in uncollected rent with zero management visibility.</w:t>
      </w:r>
    </w:p>
    <w:p>
      <w:pPr>
        <w:keepNext/>
        <w:spacing w:before="240" w:after="80"/>
      </w:pPr>
      <w:r>
        <w:rPr>
          <w:rFonts w:ascii="Calibri" w:hAnsi="Calibri"/>
          <w:b/>
          <w:color w:val="1F4E79"/>
          <w:sz w:val="25"/>
        </w:rPr>
        <w:t>Issue 4: Dual-Platform Telematics Blindspots</w:t>
      </w:r>
    </w:p>
    <w:p>
      <w:pPr>
        <w:spacing w:after="120" w:line="276" w:lineRule="auto"/>
      </w:pPr>
      <w:r>
        <w:rPr>
          <w:rFonts w:ascii="Calibri" w:hAnsi="Calibri"/>
          <w:b/>
          <w:color w:val="262626"/>
          <w:sz w:val="21"/>
        </w:rPr>
        <w:t xml:space="preserve">Multi-App Flaws: </w:t>
      </w:r>
      <w:r>
        <w:rPr>
          <w:rFonts w:ascii="Calibri" w:hAnsi="Calibri"/>
          <w:i w:val="0"/>
          <w:color w:val="262626"/>
          <w:sz w:val="21"/>
        </w:rPr>
        <w:t>When drivers operate across both Uber and Ola, spreadsheet formulas frequently break or produce false values because Excel formulas cannot dynamically handle cross-platform API latency or partial week switches. Spreadsheets resort to nested IF statements extending over 20 lines, which operators frequently bypass by typing arbitrary estimates like ₹500, ₹645, or ₹900.</w:t>
      </w:r>
    </w:p>
    <w:p>
      <w:pPr>
        <w:keepNext/>
        <w:spacing w:before="240" w:after="80"/>
      </w:pPr>
      <w:r>
        <w:rPr>
          <w:rFonts w:ascii="Calibri" w:hAnsi="Calibri"/>
          <w:b/>
          <w:color w:val="1F4E79"/>
          <w:sz w:val="25"/>
        </w:rPr>
        <w:t>Issue 5: Opaque Indemnity Fee Handling</w:t>
      </w:r>
    </w:p>
    <w:p>
      <w:pPr>
        <w:spacing w:after="120" w:line="276" w:lineRule="auto"/>
      </w:pPr>
      <w:r>
        <w:rPr>
          <w:rFonts w:ascii="Calibri" w:hAnsi="Calibri"/>
          <w:b/>
          <w:color w:val="262626"/>
          <w:sz w:val="21"/>
        </w:rPr>
        <w:t xml:space="preserve">Indemnity Chaos: </w:t>
      </w:r>
      <w:r>
        <w:rPr>
          <w:rFonts w:ascii="Calibri" w:hAnsi="Calibri"/>
          <w:i w:val="0"/>
          <w:color w:val="262626"/>
          <w:sz w:val="21"/>
        </w:rPr>
        <w:t>In historical sheets, the standard ₹30 daily indemnity fee was haphazardly embedded into the base rent in Mumbai, while in Bangalore it was applied separately, and for various operators (Rishad, Nisamudeen, Shaik Kareem) inconsistent waivers (₹0, ₹15, ₹20) were applied without central authorization rules.</w:t>
      </w:r>
    </w:p>
    <w:p>
      <w:pPr>
        <w:keepNext/>
        <w:spacing w:before="320" w:after="120"/>
      </w:pPr>
      <w:r>
        <w:rPr>
          <w:rFonts w:ascii="Calibri" w:hAnsi="Calibri"/>
          <w:b/>
          <w:color w:val="1F4E79"/>
          <w:sz w:val="30"/>
        </w:rPr>
        <w:t>3. Comprehensive Risk Assessment for LetzRyd</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80" w:type="dxa"/>
              <w:bottom w:w="80" w:type="dxa"/>
              <w:left w:w="100" w:type="dxa"/>
              <w:right w:w="100" w:type="dxa"/>
            </w:tcMar>
          </w:tcPr>
          <w:p>
            <w:r>
              <w:rPr>
                <w:b/>
                <w:color w:val="FFFFFF"/>
                <w:sz w:val="19"/>
              </w:rPr>
              <w:t>Risk Dimension</w:t>
            </w:r>
          </w:p>
        </w:tc>
        <w:tc>
          <w:tcPr>
            <w:tcW w:type="dxa" w:w="3120"/>
            <w:shd w:fill="1F4E79"/>
            <w:tcMar>
              <w:top w:w="80" w:type="dxa"/>
              <w:bottom w:w="80" w:type="dxa"/>
              <w:left w:w="100" w:type="dxa"/>
              <w:right w:w="100" w:type="dxa"/>
            </w:tcMar>
          </w:tcPr>
          <w:p>
            <w:r>
              <w:rPr>
                <w:b/>
                <w:color w:val="FFFFFF"/>
                <w:sz w:val="19"/>
              </w:rPr>
              <w:t>Operational Reality in Excel</w:t>
            </w:r>
          </w:p>
        </w:tc>
        <w:tc>
          <w:tcPr>
            <w:tcW w:type="dxa" w:w="3120"/>
            <w:shd w:fill="1F4E79"/>
            <w:tcMar>
              <w:top w:w="80" w:type="dxa"/>
              <w:bottom w:w="80" w:type="dxa"/>
              <w:left w:w="100" w:type="dxa"/>
              <w:right w:w="100" w:type="dxa"/>
            </w:tcMar>
          </w:tcPr>
          <w:p>
            <w:r>
              <w:rPr>
                <w:b/>
                <w:color w:val="FFFFFF"/>
                <w:sz w:val="19"/>
              </w:rPr>
              <w:t>Business &amp; Financial Severity</w:t>
            </w:r>
          </w:p>
        </w:tc>
      </w:tr>
      <w:tr>
        <w:tc>
          <w:tcPr>
            <w:tcW w:type="dxa" w:w="2592"/>
            <w:tcMar>
              <w:top w:w="60" w:type="dxa"/>
              <w:bottom w:w="60" w:type="dxa"/>
              <w:left w:w="100" w:type="dxa"/>
              <w:right w:w="100" w:type="dxa"/>
            </w:tcMar>
          </w:tcPr>
          <w:p>
            <w:r>
              <w:rPr>
                <w:b/>
                <w:sz w:val="18"/>
              </w:rPr>
              <w:t>Revenue Leakage vs. Overcharging</w:t>
            </w:r>
          </w:p>
        </w:tc>
        <w:tc>
          <w:tcPr>
            <w:tcW w:type="dxa" w:w="4608"/>
            <w:tcMar>
              <w:top w:w="60" w:type="dxa"/>
              <w:bottom w:w="60" w:type="dxa"/>
              <w:left w:w="100" w:type="dxa"/>
              <w:right w:w="100" w:type="dxa"/>
            </w:tcMar>
          </w:tcPr>
          <w:p>
            <w:r>
              <w:rPr>
                <w:sz w:val="18"/>
              </w:rPr>
              <w:t>Arbitrary typing causes either uncollected rent (e.g. Mumbai ₹50/day shortfall) or unauthorized overcharging (BLR ₹121/day overcharge).</w:t>
            </w:r>
          </w:p>
        </w:tc>
        <w:tc>
          <w:tcPr>
            <w:tcW w:type="dxa" w:w="2592"/>
            <w:tcMar>
              <w:top w:w="60" w:type="dxa"/>
              <w:bottom w:w="60" w:type="dxa"/>
              <w:left w:w="100" w:type="dxa"/>
              <w:right w:w="100" w:type="dxa"/>
            </w:tcMar>
          </w:tcPr>
          <w:p>
            <w:r>
              <w:rPr>
                <w:sz w:val="18"/>
              </w:rPr>
              <w:t>HIGH: Direct bottom-line margin erosion and liability exposure.</w:t>
            </w:r>
          </w:p>
        </w:tc>
      </w:tr>
      <w:tr>
        <w:tc>
          <w:tcPr>
            <w:tcW w:type="dxa" w:w="2592"/>
            <w:tcMar>
              <w:top w:w="60" w:type="dxa"/>
              <w:bottom w:w="60" w:type="dxa"/>
              <w:left w:w="100" w:type="dxa"/>
              <w:right w:w="100" w:type="dxa"/>
            </w:tcMar>
          </w:tcPr>
          <w:p>
            <w:r>
              <w:rPr>
                <w:b/>
                <w:sz w:val="18"/>
              </w:rPr>
              <w:t>Driver Trust &amp; Attrition</w:t>
            </w:r>
          </w:p>
        </w:tc>
        <w:tc>
          <w:tcPr>
            <w:tcW w:type="dxa" w:w="4608"/>
            <w:tcMar>
              <w:top w:w="60" w:type="dxa"/>
              <w:bottom w:w="60" w:type="dxa"/>
              <w:left w:w="100" w:type="dxa"/>
              <w:right w:w="100" w:type="dxa"/>
            </w:tcMar>
          </w:tcPr>
          <w:p>
            <w:r>
              <w:rPr>
                <w:sz w:val="18"/>
              </w:rPr>
              <w:t>Drivers compare settlement slips. Discrepancies between drivers with identical trip counts cause deep resentment and depot strikes.</w:t>
            </w:r>
          </w:p>
        </w:tc>
        <w:tc>
          <w:tcPr>
            <w:tcW w:type="dxa" w:w="2592"/>
            <w:tcMar>
              <w:top w:w="60" w:type="dxa"/>
              <w:bottom w:w="60" w:type="dxa"/>
              <w:left w:w="100" w:type="dxa"/>
              <w:right w:w="100" w:type="dxa"/>
            </w:tcMar>
          </w:tcPr>
          <w:p>
            <w:r>
              <w:rPr>
                <w:b/>
                <w:color w:val="C00000"/>
                <w:sz w:val="18"/>
              </w:rPr>
              <w:t>CRITICAL: Driver acquisition cost is high; unwarranted attrition directly hurts fleet utilization.</w:t>
            </w:r>
          </w:p>
        </w:tc>
      </w:tr>
      <w:tr>
        <w:tc>
          <w:tcPr>
            <w:tcW w:type="dxa" w:w="2592"/>
            <w:tcMar>
              <w:top w:w="60" w:type="dxa"/>
              <w:bottom w:w="60" w:type="dxa"/>
              <w:left w:w="100" w:type="dxa"/>
              <w:right w:w="100" w:type="dxa"/>
            </w:tcMar>
          </w:tcPr>
          <w:p>
            <w:r>
              <w:rPr>
                <w:b/>
                <w:sz w:val="18"/>
              </w:rPr>
              <w:t>Audit &amp; Statutory Exposure</w:t>
            </w:r>
          </w:p>
        </w:tc>
        <w:tc>
          <w:tcPr>
            <w:tcW w:type="dxa" w:w="4608"/>
            <w:tcMar>
              <w:top w:w="60" w:type="dxa"/>
              <w:bottom w:w="60" w:type="dxa"/>
              <w:left w:w="100" w:type="dxa"/>
              <w:right w:w="100" w:type="dxa"/>
            </w:tcMar>
          </w:tcPr>
          <w:p>
            <w:r>
              <w:rPr>
                <w:sz w:val="18"/>
              </w:rPr>
              <w:t>During tax, GST, or investor due diligence, financial auditors require transaction lineage. Overwritten Excel cells fail statutory audit requirements.</w:t>
            </w:r>
          </w:p>
        </w:tc>
        <w:tc>
          <w:tcPr>
            <w:tcW w:type="dxa" w:w="2592"/>
            <w:tcMar>
              <w:top w:w="60" w:type="dxa"/>
              <w:bottom w:w="60" w:type="dxa"/>
              <w:left w:w="100" w:type="dxa"/>
              <w:right w:w="100" w:type="dxa"/>
            </w:tcMar>
          </w:tcPr>
          <w:p>
            <w:r>
              <w:rPr>
                <w:b/>
                <w:color w:val="C00000"/>
                <w:sz w:val="18"/>
              </w:rPr>
              <w:t>CRITICAL: Potential penalties, restatements, and valuation discounts during fundraising.</w:t>
            </w:r>
          </w:p>
        </w:tc>
      </w:tr>
      <w:tr>
        <w:tc>
          <w:tcPr>
            <w:tcW w:type="dxa" w:w="2592"/>
            <w:tcMar>
              <w:top w:w="60" w:type="dxa"/>
              <w:bottom w:w="60" w:type="dxa"/>
              <w:left w:w="100" w:type="dxa"/>
              <w:right w:w="100" w:type="dxa"/>
            </w:tcMar>
          </w:tcPr>
          <w:p>
            <w:r>
              <w:rPr>
                <w:b/>
                <w:sz w:val="18"/>
              </w:rPr>
              <w:t>Operational Bottleneck</w:t>
            </w:r>
          </w:p>
        </w:tc>
        <w:tc>
          <w:tcPr>
            <w:tcW w:type="dxa" w:w="4608"/>
            <w:tcMar>
              <w:top w:w="60" w:type="dxa"/>
              <w:bottom w:w="60" w:type="dxa"/>
              <w:left w:w="100" w:type="dxa"/>
              <w:right w:w="100" w:type="dxa"/>
            </w:tcMar>
          </w:tcPr>
          <w:p>
            <w:r>
              <w:rPr>
                <w:sz w:val="18"/>
              </w:rPr>
              <w:t>Generating and auditing weekly Hisaabs across 1,000+ vehicles in Excel takes 3–4 days of intensive manual labor each week.</w:t>
            </w:r>
          </w:p>
        </w:tc>
        <w:tc>
          <w:tcPr>
            <w:tcW w:type="dxa" w:w="2592"/>
            <w:tcMar>
              <w:top w:w="60" w:type="dxa"/>
              <w:bottom w:w="60" w:type="dxa"/>
              <w:left w:w="100" w:type="dxa"/>
              <w:right w:w="100" w:type="dxa"/>
            </w:tcMar>
          </w:tcPr>
          <w:p>
            <w:r>
              <w:rPr>
                <w:sz w:val="18"/>
              </w:rPr>
              <w:t>HIGH: Prevents fleet scaling from 1,000 to 5,000 vehicles.</w:t>
            </w:r>
          </w:p>
        </w:tc>
      </w:tr>
    </w:tbl>
    <w:p>
      <w:pPr>
        <w:spacing w:after="160"/>
      </w:pPr>
    </w:p>
    <w:p>
      <w:pPr>
        <w:keepNext/>
        <w:spacing w:before="320" w:after="120"/>
      </w:pPr>
      <w:r>
        <w:rPr>
          <w:rFonts w:ascii="Calibri" w:hAnsi="Calibri"/>
          <w:b/>
          <w:color w:val="1F4E79"/>
          <w:sz w:val="30"/>
        </w:rPr>
        <w:t>4. The Deployed Solution: Automated Database Engine</w:t>
      </w:r>
    </w:p>
    <w:p>
      <w:pPr>
        <w:spacing w:after="120" w:line="276" w:lineRule="auto"/>
      </w:pPr>
      <w:r>
        <w:rPr>
          <w:rFonts w:ascii="Calibri" w:hAnsi="Calibri"/>
          <w:i w:val="0"/>
          <w:color w:val="262626"/>
          <w:sz w:val="21"/>
        </w:rPr>
        <w:t>To eliminate spreadsheet dependency and secure LetzRyd's revenue, an automated, standardized rental engine has been deployed directly in PostgreSQL (35.200.196.113).</w:t>
      </w:r>
    </w:p>
    <w:p>
      <w:pPr>
        <w:pStyle w:val="ListBullet"/>
        <w:spacing w:after="80" w:line="276" w:lineRule="auto"/>
      </w:pPr>
      <w:r>
        <w:rPr>
          <w:rFonts w:ascii="Calibri" w:hAnsi="Calibri"/>
          <w:b/>
          <w:color w:val="262626"/>
          <w:sz w:val="21"/>
        </w:rPr>
        <w:t xml:space="preserve">1. Clean Custody: </w:t>
      </w:r>
      <w:r>
        <w:rPr>
          <w:rFonts w:ascii="Calibri" w:hAnsi="Calibri"/>
          <w:color w:val="262626"/>
          <w:sz w:val="21"/>
        </w:rPr>
        <w:t>Custody Single Source of Truth: The engine reads vehicle allocation and active duty strictly from core_daily_vehicle_status. No external or contradictory tables are consulted.</w:t>
      </w:r>
    </w:p>
    <w:p>
      <w:pPr>
        <w:pStyle w:val="ListBullet"/>
        <w:spacing w:after="80" w:line="276" w:lineRule="auto"/>
      </w:pPr>
      <w:r>
        <w:rPr>
          <w:rFonts w:ascii="Calibri" w:hAnsi="Calibri"/>
          <w:b/>
          <w:color w:val="262626"/>
          <w:sz w:val="21"/>
        </w:rPr>
        <w:t xml:space="preserve">2. No Off-Road Billing: </w:t>
      </w:r>
      <w:r>
        <w:rPr>
          <w:rFonts w:ascii="Calibri" w:hAnsi="Calibri"/>
          <w:color w:val="262626"/>
          <w:sz w:val="21"/>
        </w:rPr>
        <w:t>Automated Off-Road Zero Billing: Any day a vehicle is in the yard, under repair, or unassigned (billable_rent_day = FALSE) is automatically billed at ₹0.00 with reason 'OFF_ROAD_OR_UNASSIGNED'.</w:t>
      </w:r>
    </w:p>
    <w:p>
      <w:pPr>
        <w:pStyle w:val="ListBullet"/>
        <w:spacing w:after="80" w:line="276" w:lineRule="auto"/>
      </w:pPr>
      <w:r>
        <w:rPr>
          <w:rFonts w:ascii="Calibri" w:hAnsi="Calibri"/>
          <w:b/>
          <w:color w:val="262626"/>
          <w:sz w:val="21"/>
        </w:rPr>
        <w:t xml:space="preserve">3. Deterministic Waterfall: </w:t>
      </w:r>
      <w:r>
        <w:rPr>
          <w:rFonts w:ascii="Calibri" w:hAnsi="Calibri"/>
          <w:color w:val="262626"/>
          <w:sz w:val="21"/>
        </w:rPr>
        <w:t>5-Tier Priority Waterfall: 1) Exceptions Registry -&gt; 2) Custom Partner Contracts -&gt; 3) Trip Slabs -&gt; 4) Plan Baselines -&gt; 5) Model Safety Net. Every rupee is justified.</w:t>
      </w:r>
    </w:p>
    <w:p>
      <w:pPr>
        <w:pStyle w:val="ListBullet"/>
        <w:spacing w:after="80" w:line="276" w:lineRule="auto"/>
      </w:pPr>
      <w:r>
        <w:rPr>
          <w:rFonts w:ascii="Calibri" w:hAnsi="Calibri"/>
          <w:b/>
          <w:color w:val="262626"/>
          <w:sz w:val="21"/>
        </w:rPr>
        <w:t xml:space="preserve">4. Complete Audit Lineage: </w:t>
      </w:r>
      <w:r>
        <w:rPr>
          <w:rFonts w:ascii="Calibri" w:hAnsi="Calibri"/>
          <w:color w:val="262626"/>
          <w:sz w:val="21"/>
        </w:rPr>
        <w:t>Immutable Daily Ledger (daily_rent_log): Rents are logged daily with complete audit lineage (matched_plan_id, matched_slab_id, calculation_rule).</w:t>
      </w:r>
    </w:p>
    <w:p>
      <w:pPr>
        <w:pStyle w:val="ListBullet"/>
        <w:spacing w:after="80" w:line="276" w:lineRule="auto"/>
      </w:pPr>
      <w:r>
        <w:rPr>
          <w:rFonts w:ascii="Calibri" w:hAnsi="Calibri"/>
          <w:b/>
          <w:color w:val="262626"/>
          <w:sz w:val="21"/>
        </w:rPr>
        <w:t xml:space="preserve">5. Isolation &amp; Safety: </w:t>
      </w:r>
      <w:r>
        <w:rPr>
          <w:rFonts w:ascii="Calibri" w:hAnsi="Calibri"/>
          <w:color w:val="262626"/>
          <w:sz w:val="21"/>
        </w:rPr>
        <w:t>Zero Failure Blast Radius: The calculation procedure only executes SELECT queries on core tables. It writes exclusively to daily_rent_log via idempotent UPSERT. If any error occurs, PostgreSQL rolls back the transaction atomically.</w:t>
      </w:r>
    </w:p>
    <w:p>
      <w:pPr>
        <w:pStyle w:val="ListBullet"/>
        <w:spacing w:after="80" w:line="276" w:lineRule="auto"/>
      </w:pPr>
      <w:r>
        <w:rPr>
          <w:rFonts w:ascii="Calibri" w:hAnsi="Calibri"/>
          <w:b/>
          <w:color w:val="262626"/>
          <w:sz w:val="21"/>
        </w:rPr>
        <w:t xml:space="preserve">6. Full Automation: </w:t>
      </w:r>
      <w:r>
        <w:rPr>
          <w:rFonts w:ascii="Calibri" w:hAnsi="Calibri"/>
          <w:color w:val="262626"/>
          <w:sz w:val="21"/>
        </w:rPr>
        <w:t>Automated Nightly pg_cron: Job 4 triggers CALL public.sp_calculate_daily_rent(CURRENT_DATE - 1, CURRENT_DATE) daily at 02:00 UTC, followed by Hisaab aggregation at 02:30 UTC.</w:t>
      </w:r>
    </w:p>
    <w:p>
      <w:pPr>
        <w:keepNext/>
        <w:spacing w:before="320" w:after="120"/>
      </w:pPr>
      <w:r>
        <w:rPr>
          <w:rFonts w:ascii="Calibri" w:hAnsi="Calibri"/>
          <w:b/>
          <w:color w:val="1F4E79"/>
          <w:sz w:val="30"/>
        </w:rPr>
        <w:t>5. Action Items for LetzRyd Management &amp; Operations</w:t>
      </w:r>
    </w:p>
    <w:p>
      <w:pPr>
        <w:pStyle w:val="ListBullet"/>
        <w:spacing w:after="80" w:line="276" w:lineRule="auto"/>
      </w:pPr>
      <w:r>
        <w:rPr>
          <w:rFonts w:ascii="Calibri" w:hAnsi="Calibri"/>
          <w:b/>
          <w:color w:val="262626"/>
          <w:sz w:val="21"/>
        </w:rPr>
        <w:t xml:space="preserve">Action 1 (Bangalore): </w:t>
      </w:r>
      <w:r>
        <w:rPr>
          <w:rFonts w:ascii="Calibri" w:hAnsi="Calibri"/>
          <w:color w:val="262626"/>
          <w:sz w:val="21"/>
        </w:rPr>
        <w:t>Formalize Idle Driver Billing: Decide as an executive policy whether drivers with 0 trips on both apps should be billed ₹929 (standard tier) or ₹1,050 (inactivity penalty). If ₹1,050 is intended, add it as a formal slab rather than allowing accountants to type it manually.</w:t>
      </w:r>
    </w:p>
    <w:p>
      <w:pPr>
        <w:pStyle w:val="ListBullet"/>
        <w:spacing w:after="80" w:line="276" w:lineRule="auto"/>
      </w:pPr>
      <w:r>
        <w:rPr>
          <w:rFonts w:ascii="Calibri" w:hAnsi="Calibri"/>
          <w:b/>
          <w:color w:val="262626"/>
          <w:sz w:val="21"/>
        </w:rPr>
        <w:t xml:space="preserve">Action 2 (Hyderabad): </w:t>
      </w:r>
      <w:r>
        <w:rPr>
          <w:rFonts w:ascii="Calibri" w:hAnsi="Calibri"/>
          <w:color w:val="262626"/>
          <w:sz w:val="21"/>
        </w:rPr>
        <w:t>Standardize Dzire Baseline: Confirm whether Dzire TBS is permanently ₹1,100 or ₹1,200. Update the rate card and notify drivers to eliminate week-over-week friction.</w:t>
      </w:r>
    </w:p>
    <w:p>
      <w:pPr>
        <w:pStyle w:val="ListBullet"/>
        <w:spacing w:after="80" w:line="276" w:lineRule="auto"/>
      </w:pPr>
      <w:r>
        <w:rPr>
          <w:rFonts w:ascii="Calibri" w:hAnsi="Calibri"/>
          <w:b/>
          <w:color w:val="262626"/>
          <w:sz w:val="21"/>
        </w:rPr>
        <w:t xml:space="preserve">Action 3 (Mumbai): </w:t>
      </w:r>
      <w:r>
        <w:rPr>
          <w:rFonts w:ascii="Calibri" w:hAnsi="Calibri"/>
          <w:color w:val="262626"/>
          <w:sz w:val="21"/>
        </w:rPr>
        <w:t>Reconcile Signed Contracts vs. Billing: Review the 6 Mumbai partners with ₹1,050 agreements who were billed ₹1,000. Either amend their contracts or instruct accounts to bill the agreed contract rate.</w:t>
      </w:r>
    </w:p>
    <w:p>
      <w:pPr>
        <w:pStyle w:val="ListBullet"/>
        <w:spacing w:after="80" w:line="276" w:lineRule="auto"/>
      </w:pPr>
      <w:r>
        <w:rPr>
          <w:rFonts w:ascii="Calibri" w:hAnsi="Calibri"/>
          <w:b/>
          <w:color w:val="262626"/>
          <w:sz w:val="21"/>
        </w:rPr>
        <w:t xml:space="preserve">Action 4 (Fleet-Wide): </w:t>
      </w:r>
      <w:r>
        <w:rPr>
          <w:rFonts w:ascii="Calibri" w:hAnsi="Calibri"/>
          <w:color w:val="262626"/>
          <w:sz w:val="21"/>
        </w:rPr>
        <w:t>Deprecate Excel for Daily Rent Computation: Use the daily_rent_log table as the sole billing source for Hisaab generation. Restrict spreadsheet access to read-only reporting.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