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184C78"/>
          <w:sz w:val="44"/>
        </w:rPr>
        <w:t>LetzRyd Rental Engine &amp; Hisaab Calculation</w:t>
      </w:r>
    </w:p>
    <w:p>
      <w:pPr>
        <w:spacing w:after="320"/>
      </w:pPr>
      <w:r>
        <w:rPr>
          <w:color w:val="646E78"/>
          <w:sz w:val="24"/>
        </w:rPr>
        <w:t>Executive Guide: Standard Plans, Custom Agreements &amp; Canonical Hisaab Calculation</w:t>
      </w:r>
    </w:p>
    <w:tbl>
      <w:tblPr>
        <w:tblW w:type="auto" w:w="0"/>
        <w:jc w:val="center"/>
        <w:tblLook w:firstColumn="1" w:firstRow="1" w:lastColumn="0" w:lastRow="0" w:noHBand="0" w:noVBand="1" w:val="04A0"/>
      </w:tblPr>
      <w:tblGrid>
        <w:gridCol w:w="9936"/>
      </w:tblGrid>
      <w:tr>
        <w:tc>
          <w:tcPr>
            <w:tcW w:type="dxa" w:w="9936"/>
            <w:shd w:fill="EBF5FB"/>
            <w:tcMar>
              <w:top w:w="140" w:type="dxa"/>
              <w:bottom w:w="140" w:type="dxa"/>
              <w:left w:w="180" w:type="dxa"/>
              <w:right w:w="180" w:type="dxa"/>
            </w:tcMar>
          </w:tcPr>
          <w:p>
            <w:pPr>
              <w:spacing w:after="40"/>
            </w:pPr>
            <w:r>
              <w:rPr>
                <w:b/>
                <w:color w:val="184C78"/>
                <w:sz w:val="22"/>
              </w:rPr>
              <w:t>Core Principle: Pure Canonical Calculations (Zero Assumed Exceptions)</w:t>
              <w:br/>
            </w:r>
            <w:r>
              <w:rPr>
                <w:sz w:val="20"/>
              </w:rPr>
              <w:t>We calculate rent strictly from what actually should have been billed based on authorized Standard Plans and confirmed Partner Custom Contracts. We do NOT guess or bake legacy spreadsheet typos into our database. The rental_exceptions table is kept completely empty (0 rows) as a clean governance container. If Operations explicitly confirms any specific business exception later, it can be added with proper approval. Our 3 data sources (Daily Vehicle Status, Uber Telemetry, Ola Telemetry) are 100% sufficient to calculate Hisaab.</w:t>
            </w:r>
          </w:p>
        </w:tc>
      </w:tr>
    </w:tbl>
    <w:p>
      <w:pPr>
        <w:spacing w:after="160"/>
      </w:pPr>
    </w:p>
    <w:p>
      <w:pPr>
        <w:pStyle w:val="Heading1"/>
        <w:spacing w:before="280" w:after="120"/>
      </w:pPr>
      <w:r>
        <w:rPr>
          <w:color w:val="184C78"/>
        </w:rPr>
        <w:t>1. The Three Core Operational Data Feeds</w:t>
      </w:r>
    </w:p>
    <w:p>
      <w:r>
        <w:t>Every daily rent calculation starts from three fundamental inputs that are already streaming into PostgreSQL:</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84C78"/>
            <w:tcMar>
              <w:top w:w="100" w:type="dxa"/>
              <w:bottom w:w="100" w:type="dxa"/>
              <w:left w:w="120" w:type="dxa"/>
              <w:right w:w="120" w:type="dxa"/>
            </w:tcMar>
          </w:tcPr>
          <w:p>
            <w:r>
              <w:rPr>
                <w:b/>
                <w:color w:val="FFFFFF"/>
                <w:sz w:val="19"/>
              </w:rPr>
              <w:t>Data Source</w:t>
            </w:r>
          </w:p>
        </w:tc>
        <w:tc>
          <w:tcPr>
            <w:tcW w:type="dxa" w:w="3312"/>
            <w:shd w:fill="184C78"/>
            <w:tcMar>
              <w:top w:w="100" w:type="dxa"/>
              <w:bottom w:w="100" w:type="dxa"/>
              <w:left w:w="120" w:type="dxa"/>
              <w:right w:w="120" w:type="dxa"/>
            </w:tcMar>
          </w:tcPr>
          <w:p>
            <w:r>
              <w:rPr>
                <w:b/>
                <w:color w:val="FFFFFF"/>
                <w:sz w:val="19"/>
              </w:rPr>
              <w:t>Fields Used by Rental Engine</w:t>
            </w:r>
          </w:p>
        </w:tc>
        <w:tc>
          <w:tcPr>
            <w:tcW w:type="dxa" w:w="3312"/>
            <w:shd w:fill="184C78"/>
            <w:tcMar>
              <w:top w:w="100" w:type="dxa"/>
              <w:bottom w:w="100" w:type="dxa"/>
              <w:left w:w="120" w:type="dxa"/>
              <w:right w:w="120" w:type="dxa"/>
            </w:tcMar>
          </w:tcPr>
          <w:p>
            <w:r>
              <w:rPr>
                <w:b/>
                <w:color w:val="FFFFFF"/>
                <w:sz w:val="19"/>
              </w:rPr>
              <w:t>Operational Purpose</w:t>
            </w:r>
          </w:p>
        </w:tc>
      </w:tr>
      <w:tr>
        <w:tc>
          <w:tcPr>
            <w:tcW w:type="dxa" w:w="3312"/>
            <w:shd w:fill="F7F9F9"/>
            <w:tcMar>
              <w:top w:w="80" w:type="dxa"/>
              <w:bottom w:w="80" w:type="dxa"/>
              <w:left w:w="120" w:type="dxa"/>
              <w:right w:w="120" w:type="dxa"/>
            </w:tcMar>
          </w:tcPr>
          <w:p>
            <w:r>
              <w:rPr>
                <w:b/>
                <w:color w:val="184C78"/>
                <w:sz w:val="18"/>
              </w:rPr>
              <w:t>core_daily_vehicle_status</w:t>
            </w:r>
          </w:p>
        </w:tc>
        <w:tc>
          <w:tcPr>
            <w:tcW w:type="dxa" w:w="3312"/>
            <w:shd w:fill="F7F9F9"/>
            <w:tcMar>
              <w:top w:w="80" w:type="dxa"/>
              <w:bottom w:w="80" w:type="dxa"/>
              <w:left w:w="120" w:type="dxa"/>
              <w:right w:w="120" w:type="dxa"/>
            </w:tcMar>
          </w:tcPr>
          <w:p>
            <w:r>
              <w:rPr>
                <w:sz w:val="18"/>
              </w:rPr>
              <w:t>status_date, vehicle_number, partner_id, city, car_model, final_status, billable_rent_day</w:t>
            </w:r>
          </w:p>
        </w:tc>
        <w:tc>
          <w:tcPr>
            <w:tcW w:type="dxa" w:w="3312"/>
            <w:shd w:fill="F7F9F9"/>
            <w:tcMar>
              <w:top w:w="80" w:type="dxa"/>
              <w:bottom w:w="80" w:type="dxa"/>
              <w:left w:w="120" w:type="dxa"/>
              <w:right w:w="120" w:type="dxa"/>
            </w:tcMar>
          </w:tcPr>
          <w:p>
            <w:r>
              <w:rPr>
                <w:sz w:val="18"/>
              </w:rPr>
              <w:t>Determines who had the vehicle, whether the vehicle was active, and if the day is billable or exempt (e.g. workshop/yard).</w:t>
            </w:r>
          </w:p>
        </w:tc>
      </w:tr>
      <w:tr>
        <w:tc>
          <w:tcPr>
            <w:tcW w:type="dxa" w:w="3312"/>
            <w:shd w:fill="FFFFFF"/>
            <w:tcMar>
              <w:top w:w="80" w:type="dxa"/>
              <w:bottom w:w="80" w:type="dxa"/>
              <w:left w:w="120" w:type="dxa"/>
              <w:right w:w="120" w:type="dxa"/>
            </w:tcMar>
          </w:tcPr>
          <w:p>
            <w:r>
              <w:rPr>
                <w:b/>
                <w:color w:val="184C78"/>
                <w:sz w:val="18"/>
              </w:rPr>
              <w:t>core_uber_daily</w:t>
            </w:r>
          </w:p>
        </w:tc>
        <w:tc>
          <w:tcPr>
            <w:tcW w:type="dxa" w:w="3312"/>
            <w:shd w:fill="FFFFFF"/>
            <w:tcMar>
              <w:top w:w="80" w:type="dxa"/>
              <w:bottom w:w="80" w:type="dxa"/>
              <w:left w:w="120" w:type="dxa"/>
              <w:right w:w="120" w:type="dxa"/>
            </w:tcMar>
          </w:tcPr>
          <w:p>
            <w:r>
              <w:rPr>
                <w:sz w:val="18"/>
              </w:rPr>
              <w:t>operational_date, vehicle_number, completed_trips, net_fare_earnings, cash_collected</w:t>
            </w:r>
          </w:p>
        </w:tc>
        <w:tc>
          <w:tcPr>
            <w:tcW w:type="dxa" w:w="3312"/>
            <w:shd w:fill="FFFFFF"/>
            <w:tcMar>
              <w:top w:w="80" w:type="dxa"/>
              <w:bottom w:w="80" w:type="dxa"/>
              <w:left w:w="120" w:type="dxa"/>
              <w:right w:w="120" w:type="dxa"/>
            </w:tcMar>
          </w:tcPr>
          <w:p>
            <w:r>
              <w:rPr>
                <w:sz w:val="18"/>
              </w:rPr>
              <w:t>Supplies driver completed trips for dynamic reducing slabs, plus fare earnings and cash deductions for Hisaab.</w:t>
            </w:r>
          </w:p>
        </w:tc>
      </w:tr>
      <w:tr>
        <w:tc>
          <w:tcPr>
            <w:tcW w:type="dxa" w:w="3312"/>
            <w:shd w:fill="F7F9F9"/>
            <w:tcMar>
              <w:top w:w="80" w:type="dxa"/>
              <w:bottom w:w="80" w:type="dxa"/>
              <w:left w:w="120" w:type="dxa"/>
              <w:right w:w="120" w:type="dxa"/>
            </w:tcMar>
          </w:tcPr>
          <w:p>
            <w:r>
              <w:rPr>
                <w:b/>
                <w:color w:val="184C78"/>
                <w:sz w:val="18"/>
              </w:rPr>
              <w:t>core_ola_daily</w:t>
            </w:r>
          </w:p>
        </w:tc>
        <w:tc>
          <w:tcPr>
            <w:tcW w:type="dxa" w:w="3312"/>
            <w:shd w:fill="F7F9F9"/>
            <w:tcMar>
              <w:top w:w="80" w:type="dxa"/>
              <w:bottom w:w="80" w:type="dxa"/>
              <w:left w:w="120" w:type="dxa"/>
              <w:right w:w="120" w:type="dxa"/>
            </w:tcMar>
          </w:tcPr>
          <w:p>
            <w:r>
              <w:rPr>
                <w:sz w:val="18"/>
              </w:rPr>
              <w:t>service_date, vehicle_number, completed_trips, operator_bill, cash_collected, online_payouts</w:t>
            </w:r>
          </w:p>
        </w:tc>
        <w:tc>
          <w:tcPr>
            <w:tcW w:type="dxa" w:w="3312"/>
            <w:shd w:fill="F7F9F9"/>
            <w:tcMar>
              <w:top w:w="80" w:type="dxa"/>
              <w:bottom w:w="80" w:type="dxa"/>
              <w:left w:w="120" w:type="dxa"/>
              <w:right w:w="120" w:type="dxa"/>
            </w:tcMar>
          </w:tcPr>
          <w:p>
            <w:r>
              <w:rPr>
                <w:sz w:val="18"/>
              </w:rPr>
              <w:t>Supplies multi-app trips, detects multi-app conditions (Bangalore ₹1,050 flat rate), and revenue/cash settlement numbers.</w:t>
            </w:r>
          </w:p>
        </w:tc>
      </w:tr>
    </w:tbl>
    <w:p>
      <w:pPr>
        <w:spacing w:after="160"/>
      </w:pPr>
    </w:p>
    <w:p>
      <w:pPr>
        <w:pStyle w:val="Heading1"/>
        <w:spacing w:before="280" w:after="120"/>
      </w:pPr>
      <w:r>
        <w:rPr>
          <w:color w:val="184C78"/>
        </w:rPr>
        <w:t>2. How Daily Rent Is Calculated (The Core Waterfall)</w:t>
      </w:r>
    </w:p>
    <w:p>
      <w:r>
        <w:t>For every vehicle and driver on each day, the engine calculates the contractual truth in this exact order:</w:t>
      </w:r>
    </w:p>
    <w:p>
      <w:pPr>
        <w:spacing w:after="80"/>
        <w:ind w:left="288"/>
      </w:pPr>
      <w:r>
        <w:rPr>
          <w:b/>
          <w:color w:val="184C78"/>
        </w:rPr>
        <w:t xml:space="preserve">• Step 0: Attendance &amp; Trip Shield: </w:t>
      </w:r>
      <w:r>
        <w:rPr>
          <w:sz w:val="19"/>
        </w:rPr>
        <w:t>Check vehicle activity. If completed trips &gt; 0, the day is unconditionally billable. If trips = 0 and attendance status is in ('Drop Off', 'RFD', 'Unassigned', 'Maintenance'), daily rent is automatically ₹0.00.</w:t>
      </w:r>
    </w:p>
    <w:p>
      <w:pPr>
        <w:spacing w:after="80"/>
        <w:ind w:left="288"/>
      </w:pPr>
      <w:r>
        <w:rPr>
          <w:b/>
          <w:color w:val="184C78"/>
        </w:rPr>
        <w:t xml:space="preserve">• Tier 1: Exceptions Container (rental_exceptions) - Currently Empty: </w:t>
      </w:r>
      <w:r>
        <w:rPr>
          <w:sz w:val="19"/>
        </w:rPr>
        <w:t>Empty by design (0 rows). We do not assume spreadsheet typos are valid rules. If Operations explicitly approves a concession later, it can be added here with full audit trails.</w:t>
      </w:r>
    </w:p>
    <w:p>
      <w:pPr>
        <w:spacing w:after="80"/>
        <w:ind w:left="288"/>
      </w:pPr>
      <w:r>
        <w:rPr>
          <w:b/>
          <w:color w:val="184C78"/>
        </w:rPr>
        <w:t xml:space="preserve">• Tier 2: Partner Custom Plan Agreements (rental_custom_partner_plans): </w:t>
      </w:r>
      <w:r>
        <w:rPr>
          <w:sz w:val="19"/>
        </w:rPr>
        <w:t>If the partner has a signed contract rate card (e.g. ₹920 for specific operator fleets, or ₹1,400 for electric Citroen eC3), the engine applies the custom agreement directly, bypassing generic city slabs.</w:t>
      </w:r>
    </w:p>
    <w:p>
      <w:pPr>
        <w:spacing w:after="80"/>
        <w:ind w:left="288"/>
      </w:pPr>
      <w:r>
        <w:rPr>
          <w:b/>
          <w:color w:val="184C78"/>
        </w:rPr>
        <w:t xml:space="preserve">• Tier 2b: Multi-App Policy (Bangalore): </w:t>
      </w:r>
      <w:r>
        <w:rPr>
          <w:sz w:val="19"/>
        </w:rPr>
        <w:t>In Bangalore, if an Individual partner operates across platforms (Ola trips &gt;= 1), the engine applies the standard multi-app policy rate of ₹1,050/day.</w:t>
      </w:r>
    </w:p>
    <w:p>
      <w:pPr>
        <w:spacing w:after="80"/>
        <w:ind w:left="288"/>
      </w:pPr>
      <w:r>
        <w:rPr>
          <w:b/>
          <w:color w:val="184C78"/>
        </w:rPr>
        <w:t xml:space="preserve">• Tier 3: Dynamic Trip Reducing Slabs (rental_rate_slabs): </w:t>
      </w:r>
      <w:r>
        <w:rPr>
          <w:sz w:val="19"/>
        </w:rPr>
        <w:t>For all standard partners, the engine aggregates total completed trips for the billing week and matches the driver's trip tier. Higher trip output lowers the daily rent:</w:t>
        <w:br/>
        <w:t>• Hyderabad TBS (WagonR): 0-49 trips = ₹989 | 50-59 trips = ₹889 | 60-69 trips = ₹849 | 70+ trips = ₹799</w:t>
        <w:br/>
        <w:t>• Mumbai Reducing (WagonR): 0-64 = ₹970 | 65-79 = ₹759 | 80-109 = ₹659 | 110-124 = ₹569 | 125-139 = ₹439 | 140+ = ₹339</w:t>
        <w:br/>
        <w:t>• Bangalore Master (Individual): 0-89 = ₹929 | 90-109 = ₹665 | 110-129 = ₹525 | 130+ = ₹400</w:t>
      </w:r>
    </w:p>
    <w:p>
      <w:pPr>
        <w:spacing w:after="80"/>
        <w:ind w:left="288"/>
      </w:pPr>
      <w:r>
        <w:rPr>
          <w:b/>
          <w:color w:val="184C78"/>
        </w:rPr>
        <w:t xml:space="preserve">• Tier 4: Vehicle Model Baseline Fallbacks (rental_model_baselines): </w:t>
      </w:r>
      <w:r>
        <w:rPr>
          <w:sz w:val="19"/>
        </w:rPr>
        <w:t>If trips fall outside slabs or the driver is unassigned, model baseline fallbacks ensure correct pricing (e.g. Mumbai Dzire = ₹1,100, Hyderabad eC3 = ₹1,400, WagonR = ₹989).</w:t>
      </w:r>
    </w:p>
    <w:p>
      <w:pPr>
        <w:spacing w:after="80"/>
        <w:ind w:left="288"/>
      </w:pPr>
      <w:r>
        <w:rPr>
          <w:b/>
          <w:color w:val="184C78"/>
        </w:rPr>
        <w:t xml:space="preserve">• Tier 5: City Base Plan Fallback (core_rental_plans): </w:t>
      </w:r>
      <w:r>
        <w:rPr>
          <w:sz w:val="19"/>
        </w:rPr>
        <w:t>Ultimate safety net. Defaults to city base plan rates (Hyderabad ₹989, Mumbai ₹970, Bangalore ₹929).</w:t>
      </w:r>
    </w:p>
    <w:p>
      <w:pPr>
        <w:spacing w:after="120"/>
      </w:pPr>
    </w:p>
    <w:p>
      <w:pPr>
        <w:pStyle w:val="Heading1"/>
        <w:spacing w:before="280" w:after="120"/>
      </w:pPr>
      <w:r>
        <w:rPr>
          <w:color w:val="184C78"/>
        </w:rPr>
        <w:t>3. Indemnity Fees &amp; Automatic Waivers</w:t>
      </w:r>
    </w:p>
    <w:p>
      <w:r>
        <w:t>Indemnity fees are governed by clean rules in public.rental_fee_rules:</w:t>
      </w:r>
    </w:p>
    <w:p>
      <w:pPr>
        <w:spacing w:after="60"/>
        <w:ind w:left="288"/>
      </w:pPr>
      <w:r>
        <w:rPr>
          <w:sz w:val="19"/>
        </w:rPr>
        <w:t>✓ Standard Daily Fee: ₹30.00/day across active billable days.</w:t>
      </w:r>
    </w:p>
    <w:p>
      <w:pPr>
        <w:spacing w:after="60"/>
        <w:ind w:left="288"/>
      </w:pPr>
      <w:r>
        <w:rPr>
          <w:sz w:val="19"/>
        </w:rPr>
        <w:t>✓ Model-Specific Waivers: Hyundai Xcent fleet vehicles in Hyderabad have an automatic ₹0.00 indemnity fee (retired fleet policy).</w:t>
      </w:r>
    </w:p>
    <w:p>
      <w:pPr>
        <w:spacing w:after="60"/>
        <w:ind w:left="288"/>
      </w:pPr>
      <w:r>
        <w:rPr>
          <w:sz w:val="19"/>
        </w:rPr>
        <w:t>✓ Partner Agreements: Specific partners with approved waivers (e.g. Shaik Kareem) are automatically set to ₹0.00.</w:t>
      </w:r>
    </w:p>
    <w:p>
      <w:pPr>
        <w:spacing w:after="60"/>
        <w:ind w:left="288"/>
      </w:pPr>
      <w:r>
        <w:rPr>
          <w:sz w:val="19"/>
        </w:rPr>
        <w:t>✓ Mumbai Merged Convention: In Mumbai, the ₹30 fee is merged into the daily rental rate card for exact parity with historical operations.</w:t>
      </w:r>
    </w:p>
    <w:p>
      <w:pPr>
        <w:spacing w:after="60"/>
        <w:ind w:left="288"/>
      </w:pPr>
      <w:r>
        <w:rPr>
          <w:sz w:val="19"/>
        </w:rPr>
        <w:t>✓ Net Daily Rent Formula: Net Daily Rent = Applied Daily Rent + Applied Daily Indemnity Fee.</w:t>
      </w:r>
    </w:p>
    <w:p>
      <w:pPr>
        <w:spacing w:after="160"/>
      </w:pPr>
    </w:p>
    <w:p>
      <w:pPr>
        <w:pStyle w:val="Heading1"/>
        <w:spacing w:before="280" w:after="120"/>
      </w:pPr>
      <w:r>
        <w:rPr>
          <w:color w:val="184C78"/>
        </w:rPr>
        <w:t>4. How It Feeds the Weekly Hisaab Settlement</w:t>
      </w:r>
    </w:p>
    <w:p>
      <w:r>
        <w:t>The daily rental engine does not operate in isolation. It feeds directly into the weekly financial settlement:</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84C78"/>
            <w:tcMar>
              <w:top w:w="100" w:type="dxa"/>
              <w:bottom w:w="100" w:type="dxa"/>
              <w:left w:w="120" w:type="dxa"/>
              <w:right w:w="120" w:type="dxa"/>
            </w:tcMar>
          </w:tcPr>
          <w:p>
            <w:r>
              <w:rPr>
                <w:b/>
                <w:color w:val="FFFFFF"/>
                <w:sz w:val="19"/>
              </w:rPr>
              <w:t>Stage</w:t>
            </w:r>
          </w:p>
        </w:tc>
        <w:tc>
          <w:tcPr>
            <w:tcW w:type="dxa" w:w="3312"/>
            <w:shd w:fill="184C78"/>
            <w:tcMar>
              <w:top w:w="100" w:type="dxa"/>
              <w:bottom w:w="100" w:type="dxa"/>
              <w:left w:w="120" w:type="dxa"/>
              <w:right w:w="120" w:type="dxa"/>
            </w:tcMar>
          </w:tcPr>
          <w:p>
            <w:r>
              <w:rPr>
                <w:b/>
                <w:color w:val="FFFFFF"/>
                <w:sz w:val="19"/>
              </w:rPr>
              <w:t>Target Table</w:t>
            </w:r>
          </w:p>
        </w:tc>
        <w:tc>
          <w:tcPr>
            <w:tcW w:type="dxa" w:w="3312"/>
            <w:shd w:fill="184C78"/>
            <w:tcMar>
              <w:top w:w="100" w:type="dxa"/>
              <w:bottom w:w="100" w:type="dxa"/>
              <w:left w:w="120" w:type="dxa"/>
              <w:right w:w="120" w:type="dxa"/>
            </w:tcMar>
          </w:tcPr>
          <w:p>
            <w:r>
              <w:rPr>
                <w:b/>
                <w:color w:val="FFFFFF"/>
                <w:sz w:val="19"/>
              </w:rPr>
              <w:t>How It Calculates</w:t>
            </w:r>
          </w:p>
        </w:tc>
      </w:tr>
      <w:tr>
        <w:tc>
          <w:tcPr>
            <w:tcW w:type="dxa" w:w="3312"/>
            <w:shd w:fill="F7F9F9"/>
            <w:tcMar>
              <w:top w:w="80" w:type="dxa"/>
              <w:bottom w:w="80" w:type="dxa"/>
              <w:left w:w="120" w:type="dxa"/>
              <w:right w:w="120" w:type="dxa"/>
            </w:tcMar>
          </w:tcPr>
          <w:p>
            <w:r>
              <w:rPr>
                <w:b/>
                <w:color w:val="184C78"/>
                <w:sz w:val="18"/>
              </w:rPr>
              <w:t>1. Daily Rent Calculation</w:t>
            </w:r>
          </w:p>
        </w:tc>
        <w:tc>
          <w:tcPr>
            <w:tcW w:type="dxa" w:w="3312"/>
            <w:shd w:fill="F7F9F9"/>
            <w:tcMar>
              <w:top w:w="80" w:type="dxa"/>
              <w:bottom w:w="80" w:type="dxa"/>
              <w:left w:w="120" w:type="dxa"/>
              <w:right w:w="120" w:type="dxa"/>
            </w:tcMar>
          </w:tcPr>
          <w:p>
            <w:r>
              <w:rPr>
                <w:sz w:val="18"/>
              </w:rPr>
              <w:t>public.daily_rent_log</w:t>
            </w:r>
          </w:p>
        </w:tc>
        <w:tc>
          <w:tcPr>
            <w:tcW w:type="dxa" w:w="3312"/>
            <w:shd w:fill="F7F9F9"/>
            <w:tcMar>
              <w:top w:w="80" w:type="dxa"/>
              <w:bottom w:w="80" w:type="dxa"/>
              <w:left w:w="120" w:type="dxa"/>
              <w:right w:w="120" w:type="dxa"/>
            </w:tcMar>
          </w:tcPr>
          <w:p>
            <w:r>
              <w:rPr>
                <w:sz w:val="18"/>
              </w:rPr>
              <w:t>Calculates net daily rent for each (log_date, vehicle, partner) at 02:00 UTC. Fixed grain protects mid-week handovers.</w:t>
            </w:r>
          </w:p>
        </w:tc>
      </w:tr>
      <w:tr>
        <w:tc>
          <w:tcPr>
            <w:tcW w:type="dxa" w:w="3312"/>
            <w:shd w:fill="FFFFFF"/>
            <w:tcMar>
              <w:top w:w="80" w:type="dxa"/>
              <w:bottom w:w="80" w:type="dxa"/>
              <w:left w:w="120" w:type="dxa"/>
              <w:right w:w="120" w:type="dxa"/>
            </w:tcMar>
          </w:tcPr>
          <w:p>
            <w:r>
              <w:rPr>
                <w:b/>
                <w:color w:val="184C78"/>
                <w:sz w:val="18"/>
              </w:rPr>
              <w:t>2. Daily Ledger Sync</w:t>
            </w:r>
          </w:p>
        </w:tc>
        <w:tc>
          <w:tcPr>
            <w:tcW w:type="dxa" w:w="3312"/>
            <w:shd w:fill="FFFFFF"/>
            <w:tcMar>
              <w:top w:w="80" w:type="dxa"/>
              <w:bottom w:w="80" w:type="dxa"/>
              <w:left w:w="120" w:type="dxa"/>
              <w:right w:w="120" w:type="dxa"/>
            </w:tcMar>
          </w:tcPr>
          <w:p>
            <w:r>
              <w:rPr>
                <w:sz w:val="18"/>
              </w:rPr>
              <w:t>public.hisaab_daily_ledger</w:t>
            </w:r>
          </w:p>
        </w:tc>
        <w:tc>
          <w:tcPr>
            <w:tcW w:type="dxa" w:w="3312"/>
            <w:shd w:fill="FFFFFF"/>
            <w:tcMar>
              <w:top w:w="80" w:type="dxa"/>
              <w:bottom w:w="80" w:type="dxa"/>
              <w:left w:w="120" w:type="dxa"/>
              <w:right w:w="120" w:type="dxa"/>
            </w:tcMar>
          </w:tcPr>
          <w:p>
            <w:r>
              <w:rPr>
                <w:sz w:val="18"/>
              </w:rPr>
              <w:t>Updates daily rent and indemnity in bulk at 02:30 UTC. Computes Daily Net Balance = Rent + Cash Collected - Fare Earnings + Challans - Credits.</w:t>
            </w:r>
          </w:p>
        </w:tc>
      </w:tr>
      <w:tr>
        <w:tc>
          <w:tcPr>
            <w:tcW w:type="dxa" w:w="3312"/>
            <w:shd w:fill="F7F9F9"/>
            <w:tcMar>
              <w:top w:w="80" w:type="dxa"/>
              <w:bottom w:w="80" w:type="dxa"/>
              <w:left w:w="120" w:type="dxa"/>
              <w:right w:w="120" w:type="dxa"/>
            </w:tcMar>
          </w:tcPr>
          <w:p>
            <w:r>
              <w:rPr>
                <w:b/>
                <w:color w:val="184C78"/>
                <w:sz w:val="18"/>
              </w:rPr>
              <w:t>3. Weekly Rollup</w:t>
            </w:r>
          </w:p>
        </w:tc>
        <w:tc>
          <w:tcPr>
            <w:tcW w:type="dxa" w:w="3312"/>
            <w:shd w:fill="F7F9F9"/>
            <w:tcMar>
              <w:top w:w="80" w:type="dxa"/>
              <w:bottom w:w="80" w:type="dxa"/>
              <w:left w:w="120" w:type="dxa"/>
              <w:right w:w="120" w:type="dxa"/>
            </w:tcMar>
          </w:tcPr>
          <w:p>
            <w:r>
              <w:rPr>
                <w:sz w:val="18"/>
              </w:rPr>
              <w:t>public.hisaab_vehicle_weekly</w:t>
            </w:r>
          </w:p>
        </w:tc>
        <w:tc>
          <w:tcPr>
            <w:tcW w:type="dxa" w:w="3312"/>
            <w:shd w:fill="F7F9F9"/>
            <w:tcMar>
              <w:top w:w="80" w:type="dxa"/>
              <w:bottom w:w="80" w:type="dxa"/>
              <w:left w:w="120" w:type="dxa"/>
              <w:right w:w="120" w:type="dxa"/>
            </w:tcMar>
          </w:tcPr>
          <w:p>
            <w:r>
              <w:rPr>
                <w:sz w:val="18"/>
              </w:rPr>
              <w:t>Aggregates 7 days into Weekly Lease Rental, Net Weekly Revenue, Tolls, TDS, and final To Collect / To Payout settlement balances.</w:t>
            </w:r>
          </w:p>
        </w:tc>
      </w:tr>
    </w:tbl>
    <w:p>
      <w:pPr>
        <w:spacing w:after="160"/>
      </w:pPr>
    </w:p>
    <w:p>
      <w:pPr>
        <w:pStyle w:val="Heading1"/>
        <w:spacing w:before="280" w:after="120"/>
      </w:pPr>
      <w:r>
        <w:rPr>
          <w:color w:val="184C78"/>
        </w:rPr>
        <w:t>5. Real-World Calculation Scenarios</w:t>
      </w:r>
    </w:p>
    <w:p>
      <w:pPr>
        <w:spacing w:after="80"/>
        <w:ind w:left="216"/>
      </w:pPr>
      <w:r>
        <w:rPr>
          <w:b/>
          <w:color w:val="184C78"/>
        </w:rPr>
        <w:t>Scenario A: Standard High-Performing Driver (Hyderabad WagonR)</w:t>
        <w:br/>
      </w:r>
      <w:r>
        <w:rPr>
          <w:sz w:val="19"/>
        </w:rPr>
        <w:t>• Driver: Individual Partner, TS08UB1234</w:t>
        <w:br/>
        <w:t>• Activity: 7 days Active on road, completed 78 Uber trips during the week.</w:t>
        <w:br/>
        <w:t>• Slab Match: 78 trips matches the '70+ trips' tier (Tier 3) -&gt; Daily Rent = ₹799.00.</w:t>
        <w:br/>
        <w:t>• Indemnity Fee: Standard ₹30.00/day.</w:t>
        <w:br/>
        <w:t>• Weekly Total: 7 days × (₹799 + ₹30) = ₹5,803.00 net weekly lease rental.</w:t>
      </w:r>
    </w:p>
    <w:p>
      <w:pPr>
        <w:spacing w:after="80"/>
        <w:ind w:left="216"/>
      </w:pPr>
      <w:r>
        <w:rPr>
          <w:b/>
          <w:color w:val="184C78"/>
        </w:rPr>
        <w:t>Scenario B: Driver Handover Mid-Week (Bangalore)</w:t>
        <w:br/>
      </w:r>
      <w:r>
        <w:rPr>
          <w:sz w:val="19"/>
        </w:rPr>
        <w:t>• Vehicle: KA51AN0887</w:t>
        <w:br/>
        <w:t>• Days 1-3: Driver A (LETZBLRIP6282) drove 3 days, did 25 trips. Rent = 3 × (₹929 + ₹30) = ₹2,877.</w:t>
        <w:br/>
        <w:t>• Days 4-7: Driver B (LETZBLRIP8075) drove 4 days, did 65 trips. Slab tier drops to ₹879. Rent = 4 × (₹879 + ₹30) = ₹3,636.</w:t>
        <w:br/>
        <w:t>• DB Handover Protection: Both drivers are recorded separately in daily_rent_log. Neither record is overwritten.</w:t>
      </w:r>
    </w:p>
    <w:p>
      <w:pPr>
        <w:spacing w:after="80"/>
        <w:ind w:left="216"/>
      </w:pPr>
      <w:r>
        <w:rPr>
          <w:b/>
          <w:color w:val="184C78"/>
        </w:rPr>
        <w:t>Scenario C: Custom Operator Rate Card (Hyderabad)</w:t>
        <w:br/>
      </w:r>
      <w:r>
        <w:rPr>
          <w:sz w:val="19"/>
        </w:rPr>
        <w:t>• Driver: Operator Fleet Partner, TS10UB6850</w:t>
        <w:br/>
        <w:t>• Agreement: Custom Partner Plan card in rental_custom_partner_plans specifies ₹920.00/day.</w:t>
        <w:br/>
        <w:t>• Outcome: Bypasses standard trip slabs, charges ₹920.00/day directly.</w:t>
      </w:r>
    </w:p>
    <w:p>
      <w:pPr>
        <w:spacing w:after="160"/>
      </w:pPr>
    </w:p>
    <w:p>
      <w:pPr>
        <w:pStyle w:val="Heading1"/>
        <w:spacing w:before="280" w:after="120"/>
      </w:pPr>
      <w:r>
        <w:rPr>
          <w:color w:val="184C78"/>
        </w:rPr>
        <w:t>6. Production Readiness &amp; Next Steps</w:t>
      </w:r>
    </w:p>
    <w:p>
      <w:pPr>
        <w:spacing w:after="240"/>
      </w:pPr>
      <w:r>
        <w:t>Everything is already in place to execute weekly Hisaab settlements:</w:t>
        <w:br/>
        <w:t>1. Pure Master Rates: Standard slabs, custom partner cards, and model baselines are 100% seeded.</w:t>
        <w:br/>
        <w:t>2. Zero Assumed Exceptions: rental_exceptions is kept clean (0 rows). No spreadsheet typos are grandfathered in.</w:t>
        <w:br/>
        <w:t>3. Trigger Free &amp; Safe: Cascading triggers are dropped; daily and weekly stored procedures run in &lt;4 seconds.</w:t>
        <w:br/>
        <w:t>4. Automated Nightly: pg_cron triggers sp_calculate_daily_rent at 02:00 UTC and sp_sync_rent_to_hisaab at 02:30 UTC.</w:t>
        <w:br/>
        <w:t>5. Action: We can trigger the complete Hisaab calculation for any historical or current week on demand.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