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DB169A" w14:textId="594C8154" w:rsidR="00D72B0C" w:rsidRDefault="00D72B0C">
      <w:pPr>
        <w:rPr>
          <w:rFonts w:ascii="Georgia" w:eastAsia="Times New Roman" w:hAnsi="Georgia"/>
          <w:color w:val="000000"/>
          <w:shd w:val="clear" w:color="auto" w:fill="FFFFFF"/>
        </w:rPr>
      </w:pPr>
      <w:r>
        <w:rPr>
          <w:rFonts w:ascii="Arial" w:eastAsia="Times New Roman" w:hAnsi="Arial" w:cs="Arial"/>
          <w:color w:val="222222"/>
          <w:sz w:val="21"/>
          <w:szCs w:val="21"/>
          <w:shd w:val="clear" w:color="auto" w:fill="FFFFFF"/>
        </w:rPr>
        <w:t>A dispute is an oral contention, usually brief, and often of a heated, angry, or undignified character: a violent dispute over a purchase. A controversy is an oral or written expression of contrary opinions, and may be dignified and of some duration: a political controversy</w:t>
      </w:r>
      <w:r w:rsidR="00FA3EC2">
        <w:rPr>
          <w:rFonts w:ascii="Arial" w:eastAsia="Times New Roman" w:hAnsi="Arial" w:cs="Arial"/>
          <w:color w:val="222222"/>
          <w:sz w:val="21"/>
          <w:szCs w:val="21"/>
          <w:shd w:val="clear" w:color="auto" w:fill="FFFFFF"/>
        </w:rPr>
        <w:t xml:space="preserve">. </w:t>
      </w:r>
      <w:r w:rsidR="00037933">
        <w:rPr>
          <w:rFonts w:ascii="Georgia" w:eastAsia="Times New Roman" w:hAnsi="Georgia"/>
          <w:color w:val="000000"/>
          <w:shd w:val="clear" w:color="auto" w:fill="FFFFFF"/>
        </w:rPr>
        <w:t>The objects of perception are the entities we attend to when we perceive the world. Perception lies at the root of all our empirical knowledge. We may have acquired much of what we know about the world through testimony, but originally such knowledge relies on the world having been perceived by others or ourselves using our five senses: sight, hearing, touch, taste, and smell. Perception, then, is of great epistemological importance. Also, a philosopher’s account of perception is intimately related to his or her conception of the mind</w:t>
      </w:r>
    </w:p>
    <w:p w14:paraId="2FDC3189" w14:textId="1A86AD34" w:rsidR="004066BE" w:rsidRDefault="00C465FA">
      <w:pPr>
        <w:pStyle w:val="NormalWeb"/>
        <w:spacing w:before="60" w:beforeAutospacing="0" w:after="0" w:afterAutospacing="0" w:line="432" w:lineRule="atLeast"/>
        <w:ind w:left="1262" w:right="1172"/>
        <w:divId w:val="929311300"/>
        <w:rPr>
          <w:rFonts w:ascii="Georgia" w:hAnsi="Georgia"/>
          <w:color w:val="111111"/>
          <w:sz w:val="27"/>
          <w:szCs w:val="27"/>
        </w:rPr>
      </w:pPr>
      <w:r>
        <w:rPr>
          <w:rFonts w:ascii="Georgia" w:eastAsia="Times New Roman" w:hAnsi="Georgia"/>
          <w:color w:val="111111"/>
          <w:sz w:val="27"/>
          <w:szCs w:val="27"/>
        </w:rPr>
        <w:t>In the past several years, there has been a renewed push in Congress to cut federal funding, via the National Science Foundation (NSF), for political science and the social sciences.</w:t>
      </w:r>
      <w:r w:rsidR="004066BE" w:rsidRPr="004066BE">
        <w:rPr>
          <w:rFonts w:ascii="Georgia" w:hAnsi="Georgia"/>
          <w:color w:val="111111"/>
          <w:sz w:val="27"/>
          <w:szCs w:val="27"/>
        </w:rPr>
        <w:t xml:space="preserve"> </w:t>
      </w:r>
      <w:r w:rsidR="004066BE">
        <w:rPr>
          <w:rFonts w:ascii="Georgia" w:hAnsi="Georgia"/>
          <w:color w:val="111111"/>
          <w:sz w:val="27"/>
          <w:szCs w:val="27"/>
        </w:rPr>
        <w:t>Attitudes toward funding political and social science largely break down along partisan lines. Republicans support cuts, and Democrats oppose them. For example, the Obama administration </w:t>
      </w:r>
      <w:hyperlink r:id="rId4" w:history="1">
        <w:r w:rsidR="004066BE">
          <w:rPr>
            <w:rStyle w:val="Hyperlink"/>
            <w:rFonts w:ascii="Georgia" w:hAnsi="Georgia"/>
            <w:color w:val="2C6CB4"/>
            <w:sz w:val="27"/>
            <w:szCs w:val="27"/>
          </w:rPr>
          <w:t>opposes</w:t>
        </w:r>
      </w:hyperlink>
      <w:r w:rsidR="004066BE">
        <w:rPr>
          <w:rFonts w:ascii="Georgia" w:hAnsi="Georgia"/>
          <w:color w:val="111111"/>
          <w:sz w:val="27"/>
          <w:szCs w:val="27"/>
        </w:rPr>
        <w:t> the America Competes Act as it was passed in the House. Given that opposition, and some uncertainty about what will happen in the Senate, it is unclear whether the NSF’s social science program will be cut, or if so, to what extent.</w:t>
      </w:r>
    </w:p>
    <w:p w14:paraId="2D651941" w14:textId="77777777" w:rsidR="004066BE" w:rsidRDefault="004066BE">
      <w:pPr>
        <w:pStyle w:val="NormalWeb"/>
        <w:spacing w:before="60" w:beforeAutospacing="0" w:after="0" w:afterAutospacing="0" w:line="432" w:lineRule="atLeast"/>
        <w:ind w:left="1262" w:right="1172"/>
        <w:divId w:val="929311300"/>
        <w:rPr>
          <w:rFonts w:ascii="Georgia" w:hAnsi="Georgia"/>
          <w:color w:val="111111"/>
          <w:sz w:val="27"/>
          <w:szCs w:val="27"/>
        </w:rPr>
      </w:pPr>
      <w:r>
        <w:rPr>
          <w:rFonts w:ascii="Georgia" w:hAnsi="Georgia"/>
          <w:color w:val="111111"/>
          <w:sz w:val="27"/>
          <w:szCs w:val="27"/>
        </w:rPr>
        <w:t>Unsurprisingly, many educational and scientific organizations oppose one or both of these bills, including the </w:t>
      </w:r>
      <w:hyperlink r:id="rId5" w:history="1">
        <w:r>
          <w:rPr>
            <w:rStyle w:val="Hyperlink"/>
            <w:rFonts w:ascii="Georgia" w:hAnsi="Georgia"/>
            <w:color w:val="2C6CB4"/>
            <w:sz w:val="27"/>
            <w:szCs w:val="27"/>
          </w:rPr>
          <w:t>Association of American Universities</w:t>
        </w:r>
      </w:hyperlink>
      <w:r>
        <w:rPr>
          <w:rFonts w:ascii="Georgia" w:hAnsi="Georgia"/>
          <w:color w:val="111111"/>
          <w:sz w:val="27"/>
          <w:szCs w:val="27"/>
        </w:rPr>
        <w:t>, </w:t>
      </w:r>
      <w:hyperlink r:id="rId6" w:history="1">
        <w:r>
          <w:rPr>
            <w:rStyle w:val="Hyperlink"/>
            <w:rFonts w:ascii="Georgia" w:hAnsi="Georgia"/>
            <w:color w:val="2C6CB4"/>
            <w:sz w:val="27"/>
            <w:szCs w:val="27"/>
          </w:rPr>
          <w:t>American Physical Society</w:t>
        </w:r>
      </w:hyperlink>
      <w:r>
        <w:rPr>
          <w:rFonts w:ascii="Georgia" w:hAnsi="Georgia"/>
          <w:color w:val="111111"/>
          <w:sz w:val="27"/>
          <w:szCs w:val="27"/>
        </w:rPr>
        <w:t>, Consortium of Social Science Associations (</w:t>
      </w:r>
      <w:hyperlink r:id="rId7" w:history="1">
        <w:r>
          <w:rPr>
            <w:rStyle w:val="Hyperlink"/>
            <w:rFonts w:ascii="Georgia" w:hAnsi="Georgia"/>
            <w:color w:val="2C6CB4"/>
            <w:sz w:val="27"/>
            <w:szCs w:val="27"/>
          </w:rPr>
          <w:t>here</w:t>
        </w:r>
      </w:hyperlink>
      <w:r>
        <w:rPr>
          <w:rFonts w:ascii="Georgia" w:hAnsi="Georgia"/>
          <w:color w:val="111111"/>
          <w:sz w:val="27"/>
          <w:szCs w:val="27"/>
        </w:rPr>
        <w:t> and </w:t>
      </w:r>
      <w:hyperlink r:id="rId8" w:history="1">
        <w:r>
          <w:rPr>
            <w:rStyle w:val="Hyperlink"/>
            <w:rFonts w:ascii="Georgia" w:hAnsi="Georgia"/>
            <w:color w:val="2C6CB4"/>
            <w:sz w:val="27"/>
            <w:szCs w:val="27"/>
          </w:rPr>
          <w:t>here</w:t>
        </w:r>
      </w:hyperlink>
      <w:r>
        <w:rPr>
          <w:rFonts w:ascii="Georgia" w:hAnsi="Georgia"/>
          <w:color w:val="111111"/>
          <w:sz w:val="27"/>
          <w:szCs w:val="27"/>
        </w:rPr>
        <w:t>), </w:t>
      </w:r>
      <w:hyperlink r:id="rId9" w:history="1">
        <w:r>
          <w:rPr>
            <w:rStyle w:val="Hyperlink"/>
            <w:rFonts w:ascii="Georgia" w:hAnsi="Georgia"/>
            <w:color w:val="2C6CB4"/>
            <w:sz w:val="27"/>
            <w:szCs w:val="27"/>
          </w:rPr>
          <w:t>Law and Society Association</w:t>
        </w:r>
      </w:hyperlink>
      <w:r>
        <w:rPr>
          <w:rFonts w:ascii="Georgia" w:hAnsi="Georgia"/>
          <w:color w:val="111111"/>
          <w:sz w:val="27"/>
          <w:szCs w:val="27"/>
        </w:rPr>
        <w:t>, </w:t>
      </w:r>
      <w:hyperlink r:id="rId10" w:anchor=".VVkO9JMYP9M" w:history="1">
        <w:r>
          <w:rPr>
            <w:rStyle w:val="Hyperlink"/>
            <w:rFonts w:ascii="Georgia" w:hAnsi="Georgia"/>
            <w:color w:val="2C6CB4"/>
            <w:sz w:val="27"/>
            <w:szCs w:val="27"/>
          </w:rPr>
          <w:t>Midwest Political Science Association</w:t>
        </w:r>
      </w:hyperlink>
      <w:r>
        <w:rPr>
          <w:rFonts w:ascii="Georgia" w:hAnsi="Georgia"/>
          <w:color w:val="111111"/>
          <w:sz w:val="27"/>
          <w:szCs w:val="27"/>
        </w:rPr>
        <w:t>, </w:t>
      </w:r>
      <w:hyperlink r:id="rId11" w:history="1">
        <w:r>
          <w:rPr>
            <w:rStyle w:val="Hyperlink"/>
            <w:rFonts w:ascii="Georgia" w:hAnsi="Georgia"/>
            <w:color w:val="2C6CB4"/>
            <w:sz w:val="27"/>
            <w:szCs w:val="27"/>
          </w:rPr>
          <w:t>Population Association of America</w:t>
        </w:r>
      </w:hyperlink>
      <w:r>
        <w:rPr>
          <w:rFonts w:ascii="Georgia" w:hAnsi="Georgia"/>
          <w:color w:val="111111"/>
          <w:sz w:val="27"/>
          <w:szCs w:val="27"/>
        </w:rPr>
        <w:t>, </w:t>
      </w:r>
      <w:hyperlink r:id="rId12" w:history="1">
        <w:r>
          <w:rPr>
            <w:rStyle w:val="Hyperlink"/>
            <w:rFonts w:ascii="Georgia" w:hAnsi="Georgia"/>
            <w:color w:val="2C6CB4"/>
            <w:sz w:val="27"/>
            <w:szCs w:val="27"/>
          </w:rPr>
          <w:t>Sage Publications</w:t>
        </w:r>
      </w:hyperlink>
      <w:r>
        <w:rPr>
          <w:rFonts w:ascii="Georgia" w:hAnsi="Georgia"/>
          <w:color w:val="111111"/>
          <w:sz w:val="27"/>
          <w:szCs w:val="27"/>
        </w:rPr>
        <w:t>, and </w:t>
      </w:r>
      <w:hyperlink r:id="rId13" w:history="1">
        <w:r>
          <w:rPr>
            <w:rStyle w:val="Hyperlink"/>
            <w:rFonts w:ascii="Georgia" w:hAnsi="Georgia"/>
            <w:color w:val="2C6CB4"/>
            <w:sz w:val="27"/>
            <w:szCs w:val="27"/>
          </w:rPr>
          <w:t>Union of Concerned Scientists</w:t>
        </w:r>
      </w:hyperlink>
      <w:r>
        <w:rPr>
          <w:rFonts w:ascii="Georgia" w:hAnsi="Georgia"/>
          <w:color w:val="111111"/>
          <w:sz w:val="27"/>
          <w:szCs w:val="27"/>
        </w:rPr>
        <w:t>.</w:t>
      </w:r>
    </w:p>
    <w:p w14:paraId="5896C127" w14:textId="77777777" w:rsidR="0084062B" w:rsidRDefault="0084062B">
      <w:pPr>
        <w:pStyle w:val="NormalWeb"/>
        <w:spacing w:before="60" w:beforeAutospacing="0" w:after="240" w:afterAutospacing="0" w:line="432" w:lineRule="atLeast"/>
        <w:ind w:left="1262" w:right="1172"/>
        <w:divId w:val="1389376052"/>
        <w:rPr>
          <w:rFonts w:ascii="Georgia" w:hAnsi="Georgia"/>
          <w:color w:val="111111"/>
          <w:sz w:val="27"/>
          <w:szCs w:val="27"/>
        </w:rPr>
      </w:pPr>
      <w:r>
        <w:rPr>
          <w:rFonts w:ascii="Georgia" w:hAnsi="Georgia"/>
          <w:color w:val="111111"/>
          <w:sz w:val="27"/>
          <w:szCs w:val="27"/>
        </w:rPr>
        <w:t xml:space="preserve">One objection to these cuts is that Congress shouldn’t be playing favorites among the scientific disciplines that the NSF funds. I’m not as persuaded by that argument. It strikes me as within Congress’s prerogatives to prioritize </w:t>
      </w:r>
      <w:r>
        <w:rPr>
          <w:rFonts w:ascii="Georgia" w:hAnsi="Georgia"/>
          <w:color w:val="111111"/>
          <w:sz w:val="27"/>
          <w:szCs w:val="27"/>
        </w:rPr>
        <w:lastRenderedPageBreak/>
        <w:t>particular kinds of spending, even at the expense of other kinds.</w:t>
      </w:r>
    </w:p>
    <w:p w14:paraId="2A7CCE69" w14:textId="77777777" w:rsidR="0084062B" w:rsidRDefault="0084062B">
      <w:pPr>
        <w:pStyle w:val="NormalWeb"/>
        <w:spacing w:before="60" w:beforeAutospacing="0" w:after="0" w:afterAutospacing="0" w:line="432" w:lineRule="atLeast"/>
        <w:ind w:left="1262" w:right="1172"/>
        <w:divId w:val="1389376052"/>
        <w:rPr>
          <w:rFonts w:ascii="Georgia" w:hAnsi="Georgia"/>
          <w:color w:val="111111"/>
          <w:sz w:val="27"/>
          <w:szCs w:val="27"/>
        </w:rPr>
      </w:pPr>
      <w:r>
        <w:rPr>
          <w:rFonts w:ascii="Georgia" w:hAnsi="Georgia"/>
          <w:color w:val="111111"/>
          <w:sz w:val="27"/>
          <w:szCs w:val="27"/>
        </w:rPr>
        <w:t>The more important objection centers on the value of social science research. This is the key argument for social scientists to make — and I </w:t>
      </w:r>
      <w:hyperlink r:id="rId14" w:history="1">
        <w:r>
          <w:rPr>
            <w:rStyle w:val="Hyperlink"/>
            <w:rFonts w:ascii="Georgia" w:hAnsi="Georgia"/>
            <w:color w:val="2C6CB4"/>
            <w:sz w:val="27"/>
            <w:szCs w:val="27"/>
          </w:rPr>
          <w:t>tried to make it</w:t>
        </w:r>
      </w:hyperlink>
      <w:r>
        <w:rPr>
          <w:rFonts w:ascii="Georgia" w:hAnsi="Georgia"/>
          <w:color w:val="111111"/>
          <w:sz w:val="27"/>
          <w:szCs w:val="27"/>
        </w:rPr>
        <w:t> regarding my own NSF grant from three years ago — lest they </w:t>
      </w:r>
      <w:hyperlink r:id="rId15" w:history="1">
        <w:r>
          <w:rPr>
            <w:rStyle w:val="Hyperlink"/>
            <w:rFonts w:ascii="Georgia" w:hAnsi="Georgia"/>
            <w:color w:val="2C6CB4"/>
            <w:sz w:val="27"/>
            <w:szCs w:val="27"/>
          </w:rPr>
          <w:t>be accused</w:t>
        </w:r>
      </w:hyperlink>
      <w:r>
        <w:rPr>
          <w:rFonts w:ascii="Georgia" w:hAnsi="Georgia"/>
          <w:color w:val="111111"/>
          <w:sz w:val="27"/>
          <w:szCs w:val="27"/>
        </w:rPr>
        <w:t> of simply advocating for goodies for themselves</w:t>
      </w:r>
    </w:p>
    <w:p w14:paraId="591E91DF" w14:textId="6DAE6065" w:rsidR="007C7FE9" w:rsidRDefault="007C7FE9">
      <w:bookmarkStart w:id="0" w:name="_GoBack"/>
      <w:bookmarkEnd w:id="0"/>
    </w:p>
    <w:sectPr w:rsidR="007C7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B0C"/>
    <w:rsid w:val="00037933"/>
    <w:rsid w:val="004066BE"/>
    <w:rsid w:val="007C7FE9"/>
    <w:rsid w:val="0084062B"/>
    <w:rsid w:val="00C465FA"/>
    <w:rsid w:val="00D72B0C"/>
    <w:rsid w:val="00FA3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3C95F"/>
  <w15:chartTrackingRefBased/>
  <w15:docId w15:val="{23370181-F6B4-BB4C-8540-15DC0F03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66BE"/>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4066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311300">
      <w:bodyDiv w:val="1"/>
      <w:marLeft w:val="0"/>
      <w:marRight w:val="0"/>
      <w:marTop w:val="0"/>
      <w:marBottom w:val="0"/>
      <w:divBdr>
        <w:top w:val="none" w:sz="0" w:space="0" w:color="auto"/>
        <w:left w:val="none" w:sz="0" w:space="0" w:color="auto"/>
        <w:bottom w:val="none" w:sz="0" w:space="0" w:color="auto"/>
        <w:right w:val="none" w:sz="0" w:space="0" w:color="auto"/>
      </w:divBdr>
    </w:div>
    <w:div w:id="138937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ssa.org/wp-content/uploads/2015/05/COSSA-Statement-on-House-CJS-Bill-May-2015.pdf" TargetMode="External" /><Relationship Id="rId13" Type="http://schemas.openxmlformats.org/officeDocument/2006/relationships/hyperlink" Target="https://www.popvox.com/bills/us/114/hr1806" TargetMode="External" /><Relationship Id="rId3" Type="http://schemas.openxmlformats.org/officeDocument/2006/relationships/webSettings" Target="webSettings.xml" /><Relationship Id="rId7" Type="http://schemas.openxmlformats.org/officeDocument/2006/relationships/hyperlink" Target="http://www.cossa.org/wp-content/uploads/2015/04/House-COMPETES-Analysis-April-2015.pdf" TargetMode="External" /><Relationship Id="rId12" Type="http://schemas.openxmlformats.org/officeDocument/2006/relationships/hyperlink" Target="https://www.popvox.com/bills/us/114/hr1806" TargetMode="External"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hyperlink" Target="http://www.aps.org/about/governance/letters/upload/response-competes-act-2015.pdf" TargetMode="External" /><Relationship Id="rId11" Type="http://schemas.openxmlformats.org/officeDocument/2006/relationships/hyperlink" Target="http://www.populationassociation.org/2015/04/21/paa-and-apc-statement-expresses-concerns-about-h-r-1806-the-america-competes-reauthorization-act-of-2015-introduced-by-house-science-committee-chairman-lamar-smith/" TargetMode="External" /><Relationship Id="rId5" Type="http://schemas.openxmlformats.org/officeDocument/2006/relationships/hyperlink" Target="http://www.aau.edu/policy/article.aspx?id=16127" TargetMode="External" /><Relationship Id="rId15" Type="http://schemas.openxmlformats.org/officeDocument/2006/relationships/hyperlink" Target="http://ipeatunc.blogspot.com/2013/02/does-social-science-deserve-public.html" TargetMode="External" /><Relationship Id="rId10" Type="http://schemas.openxmlformats.org/officeDocument/2006/relationships/hyperlink" Target="http://mpsanet.org/Advocacy/CurrentIssues/OpposeHR1806/tabid/959/Default.aspx" TargetMode="External" /><Relationship Id="rId4" Type="http://schemas.openxmlformats.org/officeDocument/2006/relationships/hyperlink" Target="https://t.co/TtWVfa7Ibq" TargetMode="External" /><Relationship Id="rId9" Type="http://schemas.openxmlformats.org/officeDocument/2006/relationships/hyperlink" Target="http://www.lawandsociety.org/docs/LSA_Competes_Act_Statement_5-4-15.pdf" TargetMode="External" /><Relationship Id="rId14" Type="http://schemas.openxmlformats.org/officeDocument/2006/relationships/hyperlink" Target="http://themonkeycage.org/2012/05/10/my-nsf-gr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gautam</dc:creator>
  <cp:keywords/>
  <dc:description/>
  <cp:lastModifiedBy>aayush gautam</cp:lastModifiedBy>
  <cp:revision>8</cp:revision>
  <dcterms:created xsi:type="dcterms:W3CDTF">2017-03-28T04:53:00Z</dcterms:created>
  <dcterms:modified xsi:type="dcterms:W3CDTF">2017-03-28T05:05:00Z</dcterms:modified>
</cp:coreProperties>
</file>