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8746E" w14:textId="3DC9FC45" w:rsidR="00C61770" w:rsidRDefault="00C61770" w:rsidP="007664F4">
      <w:pPr>
        <w:pStyle w:val="Title"/>
        <w:jc w:val="center"/>
      </w:pPr>
      <w:r w:rsidRPr="00A23A9D">
        <w:t>Bridging the Divide: Data-Driven Equity for</w:t>
      </w:r>
      <w:r w:rsidR="007664F4">
        <w:t xml:space="preserve"> </w:t>
      </w:r>
      <w:r w:rsidRPr="00A23A9D">
        <w:t>Victorian state Schools</w:t>
      </w:r>
    </w:p>
    <w:p w14:paraId="08033D1E" w14:textId="397CEB59" w:rsidR="007664F4" w:rsidRDefault="007664F4" w:rsidP="007664F4">
      <w:r>
        <w:t xml:space="preserve">By Aayush Purohit </w:t>
      </w:r>
    </w:p>
    <w:p w14:paraId="771EB15F" w14:textId="7B085F57" w:rsidR="00C61770" w:rsidRPr="007664F4" w:rsidRDefault="007664F4" w:rsidP="007664F4">
      <w:r>
        <w:t>1850846</w:t>
      </w:r>
    </w:p>
    <w:sdt>
      <w:sdtPr>
        <w:rPr>
          <w:rFonts w:ascii="Times New Roman" w:eastAsiaTheme="minorHAnsi" w:hAnsi="Times New Roman" w:cs="Times New Roman"/>
          <w:b w:val="0"/>
          <w:bCs w:val="0"/>
          <w:color w:val="auto"/>
          <w:kern w:val="2"/>
          <w:sz w:val="24"/>
          <w:szCs w:val="24"/>
          <w14:ligatures w14:val="standardContextual"/>
        </w:rPr>
        <w:id w:val="1027757965"/>
        <w:docPartObj>
          <w:docPartGallery w:val="Table of Contents"/>
          <w:docPartUnique/>
        </w:docPartObj>
      </w:sdtPr>
      <w:sdtEndPr>
        <w:rPr>
          <w:noProof/>
        </w:rPr>
      </w:sdtEndPr>
      <w:sdtContent>
        <w:p w14:paraId="7FF66927" w14:textId="7D488663" w:rsidR="00C61770" w:rsidRPr="00A23A9D" w:rsidRDefault="00C61770" w:rsidP="00A23A9D">
          <w:pPr>
            <w:pStyle w:val="TOCHeading"/>
            <w:spacing w:line="240" w:lineRule="auto"/>
            <w:rPr>
              <w:rFonts w:ascii="Times New Roman" w:hAnsi="Times New Roman" w:cs="Times New Roman"/>
              <w:b w:val="0"/>
              <w:bCs w:val="0"/>
              <w:sz w:val="24"/>
              <w:szCs w:val="24"/>
            </w:rPr>
          </w:pPr>
          <w:r w:rsidRPr="00A23A9D">
            <w:rPr>
              <w:rFonts w:ascii="Times New Roman" w:hAnsi="Times New Roman" w:cs="Times New Roman"/>
              <w:b w:val="0"/>
              <w:bCs w:val="0"/>
              <w:sz w:val="24"/>
              <w:szCs w:val="24"/>
            </w:rPr>
            <w:t>Table of Contents</w:t>
          </w:r>
        </w:p>
        <w:p w14:paraId="6608292C" w14:textId="3EA3A659" w:rsidR="007664F4" w:rsidRDefault="00C61770">
          <w:pPr>
            <w:pStyle w:val="TOC2"/>
            <w:rPr>
              <w:rFonts w:eastAsiaTheme="minorEastAsia"/>
              <w:i w:val="0"/>
              <w:iCs w:val="0"/>
              <w:noProof/>
              <w:sz w:val="24"/>
              <w:szCs w:val="24"/>
              <w:lang w:val="en-AU" w:eastAsia="en-GB"/>
            </w:rPr>
          </w:pPr>
          <w:r w:rsidRPr="00A23A9D">
            <w:rPr>
              <w:rFonts w:ascii="Times New Roman" w:hAnsi="Times New Roman" w:cs="Times New Roman"/>
              <w:i w:val="0"/>
              <w:iCs w:val="0"/>
              <w:sz w:val="24"/>
              <w:szCs w:val="24"/>
            </w:rPr>
            <w:fldChar w:fldCharType="begin"/>
          </w:r>
          <w:r w:rsidRPr="00A23A9D">
            <w:rPr>
              <w:rFonts w:ascii="Times New Roman" w:hAnsi="Times New Roman" w:cs="Times New Roman"/>
              <w:i w:val="0"/>
              <w:iCs w:val="0"/>
              <w:sz w:val="24"/>
              <w:szCs w:val="24"/>
            </w:rPr>
            <w:instrText xml:space="preserve"> TOC \o "1-3" \h \z \u </w:instrText>
          </w:r>
          <w:r w:rsidRPr="00A23A9D">
            <w:rPr>
              <w:rFonts w:ascii="Times New Roman" w:hAnsi="Times New Roman" w:cs="Times New Roman"/>
              <w:i w:val="0"/>
              <w:iCs w:val="0"/>
              <w:sz w:val="24"/>
              <w:szCs w:val="24"/>
            </w:rPr>
            <w:fldChar w:fldCharType="separate"/>
          </w:r>
          <w:hyperlink w:anchor="_Toc209726782" w:history="1">
            <w:r w:rsidR="007664F4" w:rsidRPr="00EC3C87">
              <w:rPr>
                <w:rStyle w:val="Hyperlink"/>
                <w:rFonts w:ascii="Times New Roman" w:hAnsi="Times New Roman" w:cs="Times New Roman"/>
                <w:noProof/>
              </w:rPr>
              <w:t>Executive Summary</w:t>
            </w:r>
            <w:r w:rsidR="007664F4">
              <w:rPr>
                <w:noProof/>
                <w:webHidden/>
              </w:rPr>
              <w:tab/>
            </w:r>
            <w:r w:rsidR="007664F4">
              <w:rPr>
                <w:noProof/>
                <w:webHidden/>
              </w:rPr>
              <w:fldChar w:fldCharType="begin"/>
            </w:r>
            <w:r w:rsidR="007664F4">
              <w:rPr>
                <w:noProof/>
                <w:webHidden/>
              </w:rPr>
              <w:instrText xml:space="preserve"> PAGEREF _Toc209726782 \h </w:instrText>
            </w:r>
            <w:r w:rsidR="007664F4">
              <w:rPr>
                <w:noProof/>
                <w:webHidden/>
              </w:rPr>
            </w:r>
            <w:r w:rsidR="007664F4">
              <w:rPr>
                <w:noProof/>
                <w:webHidden/>
              </w:rPr>
              <w:fldChar w:fldCharType="separate"/>
            </w:r>
            <w:r w:rsidR="007664F4">
              <w:rPr>
                <w:noProof/>
                <w:webHidden/>
              </w:rPr>
              <w:t>2</w:t>
            </w:r>
            <w:r w:rsidR="007664F4">
              <w:rPr>
                <w:noProof/>
                <w:webHidden/>
              </w:rPr>
              <w:fldChar w:fldCharType="end"/>
            </w:r>
          </w:hyperlink>
        </w:p>
        <w:p w14:paraId="62207BB0" w14:textId="2DEDD03F" w:rsidR="007664F4" w:rsidRDefault="007664F4">
          <w:pPr>
            <w:pStyle w:val="TOC2"/>
            <w:rPr>
              <w:rFonts w:eastAsiaTheme="minorEastAsia"/>
              <w:i w:val="0"/>
              <w:iCs w:val="0"/>
              <w:noProof/>
              <w:sz w:val="24"/>
              <w:szCs w:val="24"/>
              <w:lang w:val="en-AU" w:eastAsia="en-GB"/>
            </w:rPr>
          </w:pPr>
          <w:hyperlink w:anchor="_Toc209726783" w:history="1">
            <w:r w:rsidRPr="00EC3C87">
              <w:rPr>
                <w:rStyle w:val="Hyperlink"/>
                <w:rFonts w:ascii="Times New Roman" w:hAnsi="Times New Roman" w:cs="Times New Roman"/>
                <w:noProof/>
              </w:rPr>
              <w:t>Industry Problem</w:t>
            </w:r>
            <w:r>
              <w:rPr>
                <w:noProof/>
                <w:webHidden/>
              </w:rPr>
              <w:tab/>
            </w:r>
            <w:r>
              <w:rPr>
                <w:noProof/>
                <w:webHidden/>
              </w:rPr>
              <w:fldChar w:fldCharType="begin"/>
            </w:r>
            <w:r>
              <w:rPr>
                <w:noProof/>
                <w:webHidden/>
              </w:rPr>
              <w:instrText xml:space="preserve"> PAGEREF _Toc209726783 \h </w:instrText>
            </w:r>
            <w:r>
              <w:rPr>
                <w:noProof/>
                <w:webHidden/>
              </w:rPr>
            </w:r>
            <w:r>
              <w:rPr>
                <w:noProof/>
                <w:webHidden/>
              </w:rPr>
              <w:fldChar w:fldCharType="separate"/>
            </w:r>
            <w:r>
              <w:rPr>
                <w:noProof/>
                <w:webHidden/>
              </w:rPr>
              <w:t>2</w:t>
            </w:r>
            <w:r>
              <w:rPr>
                <w:noProof/>
                <w:webHidden/>
              </w:rPr>
              <w:fldChar w:fldCharType="end"/>
            </w:r>
          </w:hyperlink>
        </w:p>
        <w:p w14:paraId="1335EEB3" w14:textId="13DC1F5E" w:rsidR="007664F4" w:rsidRDefault="007664F4">
          <w:pPr>
            <w:pStyle w:val="TOC2"/>
            <w:rPr>
              <w:rFonts w:eastAsiaTheme="minorEastAsia"/>
              <w:i w:val="0"/>
              <w:iCs w:val="0"/>
              <w:noProof/>
              <w:sz w:val="24"/>
              <w:szCs w:val="24"/>
              <w:lang w:val="en-AU" w:eastAsia="en-GB"/>
            </w:rPr>
          </w:pPr>
          <w:hyperlink w:anchor="_Toc209726784" w:history="1">
            <w:r w:rsidRPr="00EC3C87">
              <w:rPr>
                <w:rStyle w:val="Hyperlink"/>
                <w:rFonts w:ascii="Times New Roman" w:hAnsi="Times New Roman" w:cs="Times New Roman"/>
                <w:noProof/>
              </w:rPr>
              <w:t>Data Processing and Management</w:t>
            </w:r>
            <w:r>
              <w:rPr>
                <w:noProof/>
                <w:webHidden/>
              </w:rPr>
              <w:tab/>
            </w:r>
            <w:r>
              <w:rPr>
                <w:noProof/>
                <w:webHidden/>
              </w:rPr>
              <w:fldChar w:fldCharType="begin"/>
            </w:r>
            <w:r>
              <w:rPr>
                <w:noProof/>
                <w:webHidden/>
              </w:rPr>
              <w:instrText xml:space="preserve"> PAGEREF _Toc209726784 \h </w:instrText>
            </w:r>
            <w:r>
              <w:rPr>
                <w:noProof/>
                <w:webHidden/>
              </w:rPr>
            </w:r>
            <w:r>
              <w:rPr>
                <w:noProof/>
                <w:webHidden/>
              </w:rPr>
              <w:fldChar w:fldCharType="separate"/>
            </w:r>
            <w:r>
              <w:rPr>
                <w:noProof/>
                <w:webHidden/>
              </w:rPr>
              <w:t>3</w:t>
            </w:r>
            <w:r>
              <w:rPr>
                <w:noProof/>
                <w:webHidden/>
              </w:rPr>
              <w:fldChar w:fldCharType="end"/>
            </w:r>
          </w:hyperlink>
        </w:p>
        <w:p w14:paraId="171301C0" w14:textId="28143751" w:rsidR="007664F4" w:rsidRDefault="007664F4">
          <w:pPr>
            <w:pStyle w:val="TOC2"/>
            <w:rPr>
              <w:rFonts w:eastAsiaTheme="minorEastAsia"/>
              <w:i w:val="0"/>
              <w:iCs w:val="0"/>
              <w:noProof/>
              <w:sz w:val="24"/>
              <w:szCs w:val="24"/>
              <w:lang w:val="en-AU" w:eastAsia="en-GB"/>
            </w:rPr>
          </w:pPr>
          <w:hyperlink w:anchor="_Toc209726785" w:history="1">
            <w:r w:rsidRPr="00EC3C87">
              <w:rPr>
                <w:rStyle w:val="Hyperlink"/>
                <w:rFonts w:ascii="Times New Roman" w:hAnsi="Times New Roman" w:cs="Times New Roman"/>
                <w:noProof/>
              </w:rPr>
              <w:t>Data Analytics Methodology</w:t>
            </w:r>
            <w:r>
              <w:rPr>
                <w:noProof/>
                <w:webHidden/>
              </w:rPr>
              <w:tab/>
            </w:r>
            <w:r>
              <w:rPr>
                <w:noProof/>
                <w:webHidden/>
              </w:rPr>
              <w:fldChar w:fldCharType="begin"/>
            </w:r>
            <w:r>
              <w:rPr>
                <w:noProof/>
                <w:webHidden/>
              </w:rPr>
              <w:instrText xml:space="preserve"> PAGEREF _Toc209726785 \h </w:instrText>
            </w:r>
            <w:r>
              <w:rPr>
                <w:noProof/>
                <w:webHidden/>
              </w:rPr>
            </w:r>
            <w:r>
              <w:rPr>
                <w:noProof/>
                <w:webHidden/>
              </w:rPr>
              <w:fldChar w:fldCharType="separate"/>
            </w:r>
            <w:r>
              <w:rPr>
                <w:noProof/>
                <w:webHidden/>
              </w:rPr>
              <w:t>4</w:t>
            </w:r>
            <w:r>
              <w:rPr>
                <w:noProof/>
                <w:webHidden/>
              </w:rPr>
              <w:fldChar w:fldCharType="end"/>
            </w:r>
          </w:hyperlink>
        </w:p>
        <w:p w14:paraId="4F36E97B" w14:textId="1580E265" w:rsidR="007664F4" w:rsidRDefault="007664F4">
          <w:pPr>
            <w:pStyle w:val="TOC2"/>
            <w:rPr>
              <w:rFonts w:eastAsiaTheme="minorEastAsia"/>
              <w:i w:val="0"/>
              <w:iCs w:val="0"/>
              <w:noProof/>
              <w:sz w:val="24"/>
              <w:szCs w:val="24"/>
              <w:lang w:val="en-AU" w:eastAsia="en-GB"/>
            </w:rPr>
          </w:pPr>
          <w:hyperlink w:anchor="_Toc209726786" w:history="1">
            <w:r w:rsidRPr="00EC3C87">
              <w:rPr>
                <w:rStyle w:val="Hyperlink"/>
                <w:rFonts w:ascii="Times New Roman" w:hAnsi="Times New Roman" w:cs="Times New Roman"/>
                <w:noProof/>
              </w:rPr>
              <w:t>Visualization and Results Evaluation</w:t>
            </w:r>
            <w:r>
              <w:rPr>
                <w:noProof/>
                <w:webHidden/>
              </w:rPr>
              <w:tab/>
            </w:r>
            <w:r>
              <w:rPr>
                <w:noProof/>
                <w:webHidden/>
              </w:rPr>
              <w:fldChar w:fldCharType="begin"/>
            </w:r>
            <w:r>
              <w:rPr>
                <w:noProof/>
                <w:webHidden/>
              </w:rPr>
              <w:instrText xml:space="preserve"> PAGEREF _Toc209726786 \h </w:instrText>
            </w:r>
            <w:r>
              <w:rPr>
                <w:noProof/>
                <w:webHidden/>
              </w:rPr>
            </w:r>
            <w:r>
              <w:rPr>
                <w:noProof/>
                <w:webHidden/>
              </w:rPr>
              <w:fldChar w:fldCharType="separate"/>
            </w:r>
            <w:r>
              <w:rPr>
                <w:noProof/>
                <w:webHidden/>
              </w:rPr>
              <w:t>5</w:t>
            </w:r>
            <w:r>
              <w:rPr>
                <w:noProof/>
                <w:webHidden/>
              </w:rPr>
              <w:fldChar w:fldCharType="end"/>
            </w:r>
          </w:hyperlink>
        </w:p>
        <w:p w14:paraId="08A7FF82" w14:textId="40B9C85B" w:rsidR="007664F4" w:rsidRDefault="007664F4">
          <w:pPr>
            <w:pStyle w:val="TOC2"/>
            <w:rPr>
              <w:rFonts w:eastAsiaTheme="minorEastAsia"/>
              <w:i w:val="0"/>
              <w:iCs w:val="0"/>
              <w:noProof/>
              <w:sz w:val="24"/>
              <w:szCs w:val="24"/>
              <w:lang w:val="en-AU" w:eastAsia="en-GB"/>
            </w:rPr>
          </w:pPr>
          <w:hyperlink w:anchor="_Toc209726787" w:history="1">
            <w:r w:rsidRPr="00EC3C87">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_Toc209726787 \h </w:instrText>
            </w:r>
            <w:r>
              <w:rPr>
                <w:noProof/>
                <w:webHidden/>
              </w:rPr>
            </w:r>
            <w:r>
              <w:rPr>
                <w:noProof/>
                <w:webHidden/>
              </w:rPr>
              <w:fldChar w:fldCharType="separate"/>
            </w:r>
            <w:r>
              <w:rPr>
                <w:noProof/>
                <w:webHidden/>
              </w:rPr>
              <w:t>9</w:t>
            </w:r>
            <w:r>
              <w:rPr>
                <w:noProof/>
                <w:webHidden/>
              </w:rPr>
              <w:fldChar w:fldCharType="end"/>
            </w:r>
          </w:hyperlink>
        </w:p>
        <w:p w14:paraId="3001E051" w14:textId="169987C3" w:rsidR="007664F4" w:rsidRDefault="007664F4">
          <w:pPr>
            <w:pStyle w:val="TOC2"/>
            <w:rPr>
              <w:rFonts w:eastAsiaTheme="minorEastAsia"/>
              <w:i w:val="0"/>
              <w:iCs w:val="0"/>
              <w:noProof/>
              <w:sz w:val="24"/>
              <w:szCs w:val="24"/>
              <w:lang w:val="en-AU" w:eastAsia="en-GB"/>
            </w:rPr>
          </w:pPr>
          <w:hyperlink w:anchor="_Toc209726788" w:history="1">
            <w:r w:rsidRPr="00EC3C87">
              <w:rPr>
                <w:rStyle w:val="Hyperlink"/>
                <w:rFonts w:ascii="Times New Roman" w:hAnsi="Times New Roman" w:cs="Times New Roman"/>
                <w:noProof/>
              </w:rPr>
              <w:t>Data Ethics and Security</w:t>
            </w:r>
            <w:r>
              <w:rPr>
                <w:noProof/>
                <w:webHidden/>
              </w:rPr>
              <w:tab/>
            </w:r>
            <w:r>
              <w:rPr>
                <w:noProof/>
                <w:webHidden/>
              </w:rPr>
              <w:fldChar w:fldCharType="begin"/>
            </w:r>
            <w:r>
              <w:rPr>
                <w:noProof/>
                <w:webHidden/>
              </w:rPr>
              <w:instrText xml:space="preserve"> PAGEREF _Toc209726788 \h </w:instrText>
            </w:r>
            <w:r>
              <w:rPr>
                <w:noProof/>
                <w:webHidden/>
              </w:rPr>
            </w:r>
            <w:r>
              <w:rPr>
                <w:noProof/>
                <w:webHidden/>
              </w:rPr>
              <w:fldChar w:fldCharType="separate"/>
            </w:r>
            <w:r>
              <w:rPr>
                <w:noProof/>
                <w:webHidden/>
              </w:rPr>
              <w:t>10</w:t>
            </w:r>
            <w:r>
              <w:rPr>
                <w:noProof/>
                <w:webHidden/>
              </w:rPr>
              <w:fldChar w:fldCharType="end"/>
            </w:r>
          </w:hyperlink>
        </w:p>
        <w:p w14:paraId="53073ED8" w14:textId="0377A5C1" w:rsidR="007664F4" w:rsidRDefault="007664F4">
          <w:pPr>
            <w:pStyle w:val="TOC2"/>
            <w:rPr>
              <w:rFonts w:eastAsiaTheme="minorEastAsia"/>
              <w:i w:val="0"/>
              <w:iCs w:val="0"/>
              <w:noProof/>
              <w:sz w:val="24"/>
              <w:szCs w:val="24"/>
              <w:lang w:val="en-AU" w:eastAsia="en-GB"/>
            </w:rPr>
          </w:pPr>
          <w:hyperlink w:anchor="_Toc209726789" w:history="1">
            <w:r w:rsidRPr="00EC3C87">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_Toc209726789 \h </w:instrText>
            </w:r>
            <w:r>
              <w:rPr>
                <w:noProof/>
                <w:webHidden/>
              </w:rPr>
            </w:r>
            <w:r>
              <w:rPr>
                <w:noProof/>
                <w:webHidden/>
              </w:rPr>
              <w:fldChar w:fldCharType="separate"/>
            </w:r>
            <w:r>
              <w:rPr>
                <w:noProof/>
                <w:webHidden/>
              </w:rPr>
              <w:t>10</w:t>
            </w:r>
            <w:r>
              <w:rPr>
                <w:noProof/>
                <w:webHidden/>
              </w:rPr>
              <w:fldChar w:fldCharType="end"/>
            </w:r>
          </w:hyperlink>
        </w:p>
        <w:p w14:paraId="2B2CF175" w14:textId="5802BFE1" w:rsidR="00C61770" w:rsidRPr="00A23A9D" w:rsidRDefault="00C61770" w:rsidP="00A23A9D">
          <w:pPr>
            <w:spacing w:line="240" w:lineRule="auto"/>
            <w:rPr>
              <w:rFonts w:ascii="Times New Roman" w:hAnsi="Times New Roman" w:cs="Times New Roman"/>
            </w:rPr>
          </w:pPr>
          <w:r w:rsidRPr="00A23A9D">
            <w:rPr>
              <w:rFonts w:ascii="Times New Roman" w:hAnsi="Times New Roman" w:cs="Times New Roman"/>
              <w:noProof/>
            </w:rPr>
            <w:fldChar w:fldCharType="end"/>
          </w:r>
        </w:p>
      </w:sdtContent>
    </w:sdt>
    <w:p w14:paraId="103F6BAD" w14:textId="77777777" w:rsidR="00C61770" w:rsidRDefault="00C61770" w:rsidP="00A23A9D">
      <w:pPr>
        <w:spacing w:line="240" w:lineRule="auto"/>
        <w:jc w:val="left"/>
        <w:rPr>
          <w:rFonts w:ascii="Times New Roman" w:hAnsi="Times New Roman" w:cs="Times New Roman"/>
        </w:rPr>
      </w:pPr>
    </w:p>
    <w:p w14:paraId="78CF5CD3" w14:textId="77777777" w:rsidR="007664F4" w:rsidRPr="00A23A9D" w:rsidRDefault="007664F4" w:rsidP="00A23A9D">
      <w:pPr>
        <w:spacing w:line="240" w:lineRule="auto"/>
        <w:jc w:val="left"/>
        <w:rPr>
          <w:rFonts w:ascii="Times New Roman" w:hAnsi="Times New Roman" w:cs="Times New Roman"/>
        </w:rPr>
      </w:pPr>
    </w:p>
    <w:p w14:paraId="43A5CAD1" w14:textId="77777777" w:rsidR="00C61770" w:rsidRPr="00A23A9D" w:rsidRDefault="00C61770" w:rsidP="00A23A9D">
      <w:pPr>
        <w:spacing w:line="240" w:lineRule="auto"/>
        <w:jc w:val="left"/>
        <w:rPr>
          <w:rFonts w:ascii="Times New Roman" w:hAnsi="Times New Roman" w:cs="Times New Roman"/>
        </w:rPr>
      </w:pPr>
    </w:p>
    <w:p w14:paraId="44EA0819" w14:textId="77777777" w:rsidR="00C61770" w:rsidRPr="00A23A9D" w:rsidRDefault="00C61770" w:rsidP="00A23A9D">
      <w:pPr>
        <w:spacing w:line="240" w:lineRule="auto"/>
        <w:jc w:val="left"/>
        <w:rPr>
          <w:rFonts w:ascii="Times New Roman" w:hAnsi="Times New Roman" w:cs="Times New Roman"/>
        </w:rPr>
      </w:pPr>
    </w:p>
    <w:p w14:paraId="0BABC69F" w14:textId="77777777" w:rsidR="00C61770" w:rsidRDefault="00C61770" w:rsidP="00A23A9D">
      <w:pPr>
        <w:spacing w:line="240" w:lineRule="auto"/>
        <w:jc w:val="left"/>
        <w:rPr>
          <w:rFonts w:ascii="Times New Roman" w:hAnsi="Times New Roman" w:cs="Times New Roman"/>
        </w:rPr>
      </w:pPr>
    </w:p>
    <w:p w14:paraId="5882AFCC" w14:textId="77777777" w:rsidR="00A23A9D" w:rsidRPr="00A23A9D" w:rsidRDefault="00A23A9D" w:rsidP="00A23A9D">
      <w:pPr>
        <w:spacing w:line="240" w:lineRule="auto"/>
        <w:jc w:val="left"/>
        <w:rPr>
          <w:rFonts w:ascii="Times New Roman" w:hAnsi="Times New Roman" w:cs="Times New Roman"/>
        </w:rPr>
      </w:pPr>
    </w:p>
    <w:p w14:paraId="4A3323F3" w14:textId="77777777" w:rsidR="00C61770" w:rsidRPr="00A23A9D" w:rsidRDefault="00C61770" w:rsidP="00A23A9D">
      <w:pPr>
        <w:spacing w:line="240" w:lineRule="auto"/>
        <w:jc w:val="left"/>
        <w:rPr>
          <w:rFonts w:ascii="Times New Roman" w:hAnsi="Times New Roman" w:cs="Times New Roman"/>
        </w:rPr>
      </w:pPr>
    </w:p>
    <w:p w14:paraId="61B052B3" w14:textId="77777777" w:rsidR="00C61770" w:rsidRPr="00A23A9D" w:rsidRDefault="00C61770" w:rsidP="00A23A9D">
      <w:pPr>
        <w:spacing w:line="240" w:lineRule="auto"/>
        <w:jc w:val="left"/>
        <w:rPr>
          <w:rFonts w:ascii="Times New Roman" w:hAnsi="Times New Roman" w:cs="Times New Roman"/>
        </w:rPr>
      </w:pPr>
    </w:p>
    <w:p w14:paraId="768E831B" w14:textId="77777777" w:rsidR="00C61770" w:rsidRPr="00A23A9D" w:rsidRDefault="00C61770" w:rsidP="00A23A9D">
      <w:pPr>
        <w:spacing w:line="240" w:lineRule="auto"/>
        <w:jc w:val="left"/>
        <w:rPr>
          <w:rFonts w:ascii="Times New Roman" w:hAnsi="Times New Roman" w:cs="Times New Roman"/>
        </w:rPr>
      </w:pPr>
    </w:p>
    <w:p w14:paraId="445993E8" w14:textId="77777777" w:rsidR="00C61770" w:rsidRPr="00A23A9D" w:rsidRDefault="00C61770" w:rsidP="00A23A9D">
      <w:pPr>
        <w:spacing w:line="240" w:lineRule="auto"/>
        <w:jc w:val="left"/>
        <w:rPr>
          <w:rFonts w:ascii="Times New Roman" w:hAnsi="Times New Roman" w:cs="Times New Roman"/>
        </w:rPr>
      </w:pPr>
    </w:p>
    <w:p w14:paraId="58FE2C68" w14:textId="77777777" w:rsidR="00C61770" w:rsidRPr="00A23A9D" w:rsidRDefault="00C61770" w:rsidP="00A23A9D">
      <w:pPr>
        <w:spacing w:line="240" w:lineRule="auto"/>
        <w:jc w:val="left"/>
        <w:rPr>
          <w:rFonts w:ascii="Times New Roman" w:hAnsi="Times New Roman" w:cs="Times New Roman"/>
        </w:rPr>
      </w:pPr>
    </w:p>
    <w:p w14:paraId="6ECC76B7" w14:textId="77777777" w:rsidR="00C61770" w:rsidRPr="00A23A9D" w:rsidRDefault="00C61770" w:rsidP="00A23A9D">
      <w:pPr>
        <w:spacing w:line="240" w:lineRule="auto"/>
        <w:jc w:val="left"/>
        <w:rPr>
          <w:rFonts w:ascii="Times New Roman" w:hAnsi="Times New Roman" w:cs="Times New Roman"/>
        </w:rPr>
      </w:pPr>
    </w:p>
    <w:p w14:paraId="443EDA39" w14:textId="77777777" w:rsidR="00C61770" w:rsidRPr="00A23A9D" w:rsidRDefault="00C61770" w:rsidP="00A23A9D">
      <w:pPr>
        <w:spacing w:line="240" w:lineRule="auto"/>
        <w:jc w:val="left"/>
        <w:rPr>
          <w:rFonts w:ascii="Times New Roman" w:hAnsi="Times New Roman" w:cs="Times New Roman"/>
        </w:rPr>
      </w:pPr>
    </w:p>
    <w:p w14:paraId="43783951" w14:textId="4C2376FF" w:rsidR="00916212" w:rsidRPr="00A23A9D" w:rsidRDefault="00916212" w:rsidP="00A23A9D">
      <w:pPr>
        <w:pStyle w:val="Heading2"/>
        <w:spacing w:line="240" w:lineRule="auto"/>
        <w:rPr>
          <w:rFonts w:ascii="Times New Roman" w:hAnsi="Times New Roman" w:cs="Times New Roman"/>
          <w:sz w:val="24"/>
          <w:szCs w:val="24"/>
        </w:rPr>
      </w:pPr>
      <w:bookmarkStart w:id="0" w:name="_Toc209726782"/>
      <w:r w:rsidRPr="00A23A9D">
        <w:rPr>
          <w:rFonts w:ascii="Times New Roman" w:hAnsi="Times New Roman" w:cs="Times New Roman"/>
          <w:sz w:val="24"/>
          <w:szCs w:val="24"/>
        </w:rPr>
        <w:lastRenderedPageBreak/>
        <w:t>Executive Summary</w:t>
      </w:r>
      <w:bookmarkEnd w:id="0"/>
    </w:p>
    <w:p w14:paraId="307A6F3D" w14:textId="77777777"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 xml:space="preserve">The research investigates funding disparities in Victorian state schools between 2022-2024, focusing on the disparity between urban and rural schools. Wealthier urban communities are collecting twice as much as their rural counterparts, affecting technology availability, out-of-school programs, and specialist programs. </w:t>
      </w:r>
    </w:p>
    <w:p w14:paraId="42B30694" w14:textId="74F64047"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The study involved 1,520 schools and used descriptive and predictive analytics methods. Power BI dashboards were developed to provide suburb contributions, leading schools, and metro-regional growth trends. Forecasting functionality was used to predict outcomes through 2025 and 2026. Results showed deep-seated inequities, with metro schools showing consistent gains and regional schools plateauing. The report recommends explicitly funding regional schools, adjustments to funding formulas based on equity-related factors and continued tracking via interactive visual dashboards.</w:t>
      </w:r>
    </w:p>
    <w:p w14:paraId="4D67A1B2" w14:textId="6D251567" w:rsidR="00916212" w:rsidRPr="00A23A9D" w:rsidRDefault="00916212" w:rsidP="00A23A9D">
      <w:pPr>
        <w:pStyle w:val="Heading2"/>
        <w:spacing w:line="240" w:lineRule="auto"/>
        <w:rPr>
          <w:rFonts w:ascii="Times New Roman" w:hAnsi="Times New Roman" w:cs="Times New Roman"/>
          <w:sz w:val="24"/>
          <w:szCs w:val="24"/>
        </w:rPr>
      </w:pPr>
      <w:bookmarkStart w:id="1" w:name="_Toc209726783"/>
      <w:r w:rsidRPr="00A23A9D">
        <w:rPr>
          <w:rFonts w:ascii="Times New Roman" w:hAnsi="Times New Roman" w:cs="Times New Roman"/>
          <w:sz w:val="24"/>
          <w:szCs w:val="24"/>
        </w:rPr>
        <w:t>Industry Problem</w:t>
      </w:r>
      <w:bookmarkEnd w:id="1"/>
    </w:p>
    <w:p w14:paraId="6D8ACC7C" w14:textId="6A6FCC59" w:rsidR="007B57D2" w:rsidRPr="00A23A9D" w:rsidRDefault="00C61770" w:rsidP="00A23A9D">
      <w:pPr>
        <w:spacing w:line="240" w:lineRule="auto"/>
        <w:rPr>
          <w:rFonts w:ascii="Times New Roman" w:hAnsi="Times New Roman" w:cs="Times New Roman"/>
        </w:rPr>
      </w:pPr>
      <w:r w:rsidRPr="00A23A9D">
        <w:rPr>
          <w:rFonts w:ascii="Times New Roman" w:hAnsi="Times New Roman" w:cs="Times New Roman"/>
        </w:rPr>
        <w:t>Even though</w:t>
      </w:r>
      <w:r w:rsidR="00C773D2" w:rsidRPr="00A23A9D">
        <w:rPr>
          <w:rFonts w:ascii="Times New Roman" w:hAnsi="Times New Roman" w:cs="Times New Roman"/>
        </w:rPr>
        <w:t xml:space="preserve"> education has been proclaimed as an instrument of earning financial success in the long run as well as social upward mobility, the Victorian public schools still </w:t>
      </w:r>
      <w:r w:rsidRPr="00A23A9D">
        <w:rPr>
          <w:rFonts w:ascii="Times New Roman" w:hAnsi="Times New Roman" w:cs="Times New Roman"/>
        </w:rPr>
        <w:t>must</w:t>
      </w:r>
      <w:r w:rsidR="00C773D2" w:rsidRPr="00A23A9D">
        <w:rPr>
          <w:rFonts w:ascii="Times New Roman" w:hAnsi="Times New Roman" w:cs="Times New Roman"/>
        </w:rPr>
        <w:t xml:space="preserve"> endure a notorious disparity in financing</w:t>
      </w:r>
      <w:r w:rsidR="007B57D2" w:rsidRPr="00A23A9D">
        <w:rPr>
          <w:rFonts w:ascii="Times New Roman" w:hAnsi="Times New Roman" w:cs="Times New Roman"/>
        </w:rPr>
        <w:t xml:space="preserve">. The bottom is that the government funding, but above this the voluntary contribution of the parents is giving them an increasing say in the kind of resources, facilities and learning opportunities which the students have. They are not even </w:t>
      </w:r>
      <w:r w:rsidRPr="00A23A9D">
        <w:rPr>
          <w:rFonts w:ascii="Times New Roman" w:hAnsi="Times New Roman" w:cs="Times New Roman"/>
        </w:rPr>
        <w:t>apportioned</w:t>
      </w:r>
      <w:r w:rsidR="007B57D2" w:rsidRPr="00A23A9D">
        <w:rPr>
          <w:rFonts w:ascii="Times New Roman" w:hAnsi="Times New Roman" w:cs="Times New Roman"/>
        </w:rPr>
        <w:t xml:space="preserve"> contributions. The high-ICSEA suburbs make or increase so much more money in a year than the regional schools, specifically the metropolitan schools.</w:t>
      </w:r>
    </w:p>
    <w:p w14:paraId="45662347" w14:textId="0743464E" w:rsidR="00F05A24" w:rsidRPr="00A23A9D" w:rsidRDefault="00F05A24" w:rsidP="00A23A9D">
      <w:pPr>
        <w:spacing w:line="240" w:lineRule="auto"/>
        <w:rPr>
          <w:rFonts w:ascii="Times New Roman" w:hAnsi="Times New Roman" w:cs="Times New Roman"/>
        </w:rPr>
      </w:pPr>
      <w:r w:rsidRPr="00A23A9D">
        <w:rPr>
          <w:rFonts w:ascii="Times New Roman" w:hAnsi="Times New Roman" w:cs="Times New Roman"/>
        </w:rPr>
        <w:t xml:space="preserve">The difference is striking. The voluntary contributions of metropolitan schools were reported to be two or three times that of regional schools, a cycle of benefit. In the wealthier Christian suburbs, parents </w:t>
      </w:r>
      <w:r w:rsidR="0089147D" w:rsidRPr="00A23A9D">
        <w:rPr>
          <w:rFonts w:ascii="Times New Roman" w:hAnsi="Times New Roman" w:cs="Times New Roman"/>
        </w:rPr>
        <w:t>can</w:t>
      </w:r>
      <w:r w:rsidRPr="00A23A9D">
        <w:rPr>
          <w:rFonts w:ascii="Times New Roman" w:hAnsi="Times New Roman" w:cs="Times New Roman"/>
        </w:rPr>
        <w:t xml:space="preserve"> </w:t>
      </w:r>
      <w:r w:rsidR="0089147D" w:rsidRPr="00A23A9D">
        <w:rPr>
          <w:rFonts w:ascii="Times New Roman" w:hAnsi="Times New Roman" w:cs="Times New Roman"/>
        </w:rPr>
        <w:t>subsidise</w:t>
      </w:r>
      <w:r w:rsidRPr="00A23A9D">
        <w:rPr>
          <w:rFonts w:ascii="Times New Roman" w:hAnsi="Times New Roman" w:cs="Times New Roman"/>
        </w:rPr>
        <w:t xml:space="preserve"> the supply of high-tech technology and after-school extra-curricular activities as well as hire specialised staff, and schools in poorer or smaller </w:t>
      </w:r>
      <w:r w:rsidR="00C61770" w:rsidRPr="00A23A9D">
        <w:rPr>
          <w:rFonts w:ascii="Times New Roman" w:hAnsi="Times New Roman" w:cs="Times New Roman"/>
        </w:rPr>
        <w:t>neighborhoods</w:t>
      </w:r>
      <w:r w:rsidRPr="00A23A9D">
        <w:rPr>
          <w:rFonts w:ascii="Times New Roman" w:hAnsi="Times New Roman" w:cs="Times New Roman"/>
        </w:rPr>
        <w:t xml:space="preserve"> find it difficult to meet even the basics. Small schools are particularly disadvantaged in structure: since they have fewer students, they are structurally constrained when it comes to raising money</w:t>
      </w:r>
      <w:r w:rsidR="0089147D" w:rsidRPr="00A23A9D">
        <w:rPr>
          <w:rFonts w:ascii="Times New Roman" w:hAnsi="Times New Roman" w:cs="Times New Roman"/>
        </w:rPr>
        <w:t>,</w:t>
      </w:r>
      <w:r w:rsidRPr="00A23A9D">
        <w:rPr>
          <w:rFonts w:ascii="Times New Roman" w:hAnsi="Times New Roman" w:cs="Times New Roman"/>
        </w:rPr>
        <w:t xml:space="preserve"> notwithstanding socio-economic backgrounds in their communities.</w:t>
      </w:r>
    </w:p>
    <w:p w14:paraId="7A643381" w14:textId="6901208C" w:rsidR="00F05A24" w:rsidRPr="00A23A9D" w:rsidRDefault="00F05A24" w:rsidP="00A23A9D">
      <w:pPr>
        <w:spacing w:line="240" w:lineRule="auto"/>
        <w:rPr>
          <w:rFonts w:ascii="Times New Roman" w:hAnsi="Times New Roman" w:cs="Times New Roman"/>
        </w:rPr>
      </w:pPr>
      <w:r w:rsidRPr="00A23A9D">
        <w:rPr>
          <w:rFonts w:ascii="Times New Roman" w:hAnsi="Times New Roman" w:cs="Times New Roman"/>
        </w:rPr>
        <w:t xml:space="preserve">This imbalance is of significance because voluntary contributions personally affect student experience. Regional students will become more exposed to </w:t>
      </w:r>
      <w:r w:rsidR="0089147D" w:rsidRPr="00A23A9D">
        <w:rPr>
          <w:rFonts w:ascii="Times New Roman" w:hAnsi="Times New Roman" w:cs="Times New Roman"/>
        </w:rPr>
        <w:t>outdated</w:t>
      </w:r>
      <w:r w:rsidRPr="00A23A9D">
        <w:rPr>
          <w:rFonts w:ascii="Times New Roman" w:hAnsi="Times New Roman" w:cs="Times New Roman"/>
        </w:rPr>
        <w:t xml:space="preserve"> facilities, reduced access to enrichment opportunities, and reduced diversity in curriculum without adequate funding. These types of inequalities contradict the idea of equal education and may even strengthen disadvantage among entire groups of people.</w:t>
      </w:r>
    </w:p>
    <w:p w14:paraId="7118DE76" w14:textId="77777777" w:rsidR="00F05A24" w:rsidRPr="00A23A9D" w:rsidRDefault="00F05A24" w:rsidP="00A23A9D">
      <w:pPr>
        <w:spacing w:line="240" w:lineRule="auto"/>
        <w:rPr>
          <w:rFonts w:ascii="Times New Roman" w:hAnsi="Times New Roman" w:cs="Times New Roman"/>
        </w:rPr>
      </w:pPr>
      <w:r w:rsidRPr="00A23A9D">
        <w:rPr>
          <w:rFonts w:ascii="Times New Roman" w:hAnsi="Times New Roman" w:cs="Times New Roman"/>
        </w:rPr>
        <w:t>The business challenge that is being addressed in the given project can therefore be stated as:</w:t>
      </w:r>
    </w:p>
    <w:p w14:paraId="20438D02" w14:textId="47D26E9A" w:rsidR="00F05A24" w:rsidRPr="00A23A9D" w:rsidRDefault="00F05A24" w:rsidP="00A23A9D">
      <w:pPr>
        <w:spacing w:line="240" w:lineRule="auto"/>
        <w:rPr>
          <w:rFonts w:ascii="Times New Roman" w:hAnsi="Times New Roman" w:cs="Times New Roman"/>
        </w:rPr>
      </w:pPr>
      <w:r w:rsidRPr="00A23A9D">
        <w:rPr>
          <w:rFonts w:ascii="Times New Roman" w:hAnsi="Times New Roman" w:cs="Times New Roman"/>
        </w:rPr>
        <w:t>How are voluntary parental contributions different in city and country Victorian state schools</w:t>
      </w:r>
      <w:r w:rsidR="0089147D" w:rsidRPr="00A23A9D">
        <w:rPr>
          <w:rFonts w:ascii="Times New Roman" w:hAnsi="Times New Roman" w:cs="Times New Roman"/>
        </w:rPr>
        <w:t>,</w:t>
      </w:r>
      <w:r w:rsidRPr="00A23A9D">
        <w:rPr>
          <w:rFonts w:ascii="Times New Roman" w:hAnsi="Times New Roman" w:cs="Times New Roman"/>
        </w:rPr>
        <w:t xml:space="preserve"> and what does the prediction of funding equity mean in 2022-2024?</w:t>
      </w:r>
    </w:p>
    <w:p w14:paraId="751A87A1" w14:textId="3853E792" w:rsidR="00916212"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 xml:space="preserve">Through data analysis, the project demonstrates the quantification, </w:t>
      </w:r>
      <w:r w:rsidR="00C61770" w:rsidRPr="00A23A9D">
        <w:rPr>
          <w:rFonts w:ascii="Times New Roman" w:hAnsi="Times New Roman" w:cs="Times New Roman"/>
        </w:rPr>
        <w:t>visualization</w:t>
      </w:r>
      <w:r w:rsidRPr="00A23A9D">
        <w:rPr>
          <w:rFonts w:ascii="Times New Roman" w:hAnsi="Times New Roman" w:cs="Times New Roman"/>
        </w:rPr>
        <w:t>, and forecasting of inequities. With school-level data recently released, evidence-based analysis has become possible not just in detecting current inequalities but also in forecasting the future trajectory, which is crucial for policymakers tasked with making educational equity in Victoria possible.</w:t>
      </w:r>
    </w:p>
    <w:p w14:paraId="78956C85" w14:textId="03944496" w:rsidR="00916212" w:rsidRPr="00A23A9D" w:rsidRDefault="00916212" w:rsidP="00A23A9D">
      <w:pPr>
        <w:pStyle w:val="Heading2"/>
        <w:spacing w:line="240" w:lineRule="auto"/>
        <w:rPr>
          <w:rFonts w:ascii="Times New Roman" w:hAnsi="Times New Roman" w:cs="Times New Roman"/>
          <w:sz w:val="24"/>
          <w:szCs w:val="24"/>
        </w:rPr>
      </w:pPr>
      <w:bookmarkStart w:id="2" w:name="_Toc209726784"/>
      <w:r w:rsidRPr="00A23A9D">
        <w:rPr>
          <w:rFonts w:ascii="Times New Roman" w:hAnsi="Times New Roman" w:cs="Times New Roman"/>
          <w:sz w:val="24"/>
          <w:szCs w:val="24"/>
        </w:rPr>
        <w:lastRenderedPageBreak/>
        <w:t>Data Processing and Management</w:t>
      </w:r>
      <w:bookmarkEnd w:id="2"/>
    </w:p>
    <w:p w14:paraId="68EF6AD4" w14:textId="3D1E202C" w:rsidR="00916212" w:rsidRPr="00A23A9D" w:rsidRDefault="00916212" w:rsidP="00A23A9D">
      <w:pPr>
        <w:spacing w:line="240" w:lineRule="auto"/>
        <w:jc w:val="left"/>
        <w:rPr>
          <w:rFonts w:ascii="Times New Roman" w:hAnsi="Times New Roman" w:cs="Times New Roman"/>
        </w:rPr>
      </w:pPr>
      <w:r w:rsidRPr="00A23A9D">
        <w:rPr>
          <w:rFonts w:ascii="Times New Roman" w:hAnsi="Times New Roman" w:cs="Times New Roman"/>
        </w:rPr>
        <w:t xml:space="preserve">The data set </w:t>
      </w:r>
      <w:r w:rsidR="00E72403" w:rsidRPr="00A23A9D">
        <w:rPr>
          <w:rFonts w:ascii="Times New Roman" w:hAnsi="Times New Roman" w:cs="Times New Roman"/>
        </w:rPr>
        <w:t>‘</w:t>
      </w:r>
      <w:hyperlink r:id="rId8" w:tgtFrame="_blank" w:history="1">
        <w:r w:rsidR="00E72403" w:rsidRPr="00A23A9D">
          <w:rPr>
            <w:rStyle w:val="Hyperlink"/>
            <w:rFonts w:ascii="Times New Roman" w:hAnsi="Times New Roman" w:cs="Times New Roman"/>
            <w:color w:val="1155CC"/>
          </w:rPr>
          <w:t>https://discover.data.vic.gov.au/dataset/victorian-state-schools-voluntary-parent-payments</w:t>
        </w:r>
      </w:hyperlink>
      <w:r w:rsidR="00E72403" w:rsidRPr="00A23A9D">
        <w:rPr>
          <w:rFonts w:ascii="Times New Roman" w:hAnsi="Times New Roman" w:cs="Times New Roman"/>
        </w:rPr>
        <w:t xml:space="preserve">’ </w:t>
      </w:r>
      <w:r w:rsidRPr="00A23A9D">
        <w:rPr>
          <w:rFonts w:ascii="Times New Roman" w:hAnsi="Times New Roman" w:cs="Times New Roman"/>
        </w:rPr>
        <w:t xml:space="preserve">used within this project was sourced from the Victorian State Schools Voluntary Parent Payments, with regional classification and growth calculations included. </w:t>
      </w:r>
      <w:r w:rsidR="00C61770" w:rsidRPr="00A23A9D">
        <w:rPr>
          <w:rFonts w:ascii="Times New Roman" w:hAnsi="Times New Roman" w:cs="Times New Roman"/>
        </w:rPr>
        <w:t>Sanitized</w:t>
      </w:r>
      <w:r w:rsidRPr="00A23A9D">
        <w:rPr>
          <w:rFonts w:ascii="Times New Roman" w:hAnsi="Times New Roman" w:cs="Times New Roman"/>
        </w:rPr>
        <w:t xml:space="preserve"> data contains 1,520 schools for Victoria with voluntary contributions by year for the years 2022, 2023, and 2024. Fields consist of school name, annual contributions for each year, annual growth rates, and geographical features such as approximate locality (East, West, North, South) and regional or metropolitan status of the school. The model presents a fruitful ground for experimentation with equity in parental contribution across aspects.</w:t>
      </w:r>
    </w:p>
    <w:p w14:paraId="13962B57" w14:textId="02664DDE" w:rsidR="00A338A8"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Before analysis, the dirty data was cleaned and preprocessed. The original file had historical contributions from 2011–2013, but the scope was shifted to 2022–2024 to align it with current funding discussions. Missing contribution field values were either dropped by excluding incomplete entries or replaced with corresponding approximations where the pattern was clear. One of the key steps in the process was unpivoting the contribution columns so that the year values could be treated as a running series, preparing the dataset for time-series forecasting and trend analysis.</w:t>
      </w:r>
    </w:p>
    <w:p w14:paraId="00922B80" w14:textId="34D2CE08" w:rsidR="00A338A8" w:rsidRPr="00A23A9D" w:rsidRDefault="00A338A8" w:rsidP="00A23A9D">
      <w:pPr>
        <w:pStyle w:val="ListParagraph"/>
        <w:numPr>
          <w:ilvl w:val="0"/>
          <w:numId w:val="5"/>
        </w:numPr>
        <w:spacing w:line="240" w:lineRule="auto"/>
        <w:rPr>
          <w:rFonts w:ascii="Times New Roman" w:hAnsi="Times New Roman" w:cs="Times New Roman"/>
        </w:rPr>
      </w:pPr>
      <w:r w:rsidRPr="00A23A9D">
        <w:rPr>
          <w:rFonts w:ascii="Times New Roman" w:hAnsi="Times New Roman" w:cs="Times New Roman"/>
        </w:rPr>
        <w:t>Cleaning: Removal of incomplete rows and replacement of minor missing values with zero or nearest-neighbor estimates.</w:t>
      </w:r>
    </w:p>
    <w:p w14:paraId="029B889F" w14:textId="77777777" w:rsidR="00A338A8" w:rsidRPr="00A23A9D" w:rsidRDefault="00A338A8" w:rsidP="00A23A9D">
      <w:pPr>
        <w:pStyle w:val="ListParagraph"/>
        <w:numPr>
          <w:ilvl w:val="0"/>
          <w:numId w:val="5"/>
        </w:numPr>
        <w:spacing w:line="240" w:lineRule="auto"/>
        <w:rPr>
          <w:rFonts w:ascii="Times New Roman" w:hAnsi="Times New Roman" w:cs="Times New Roman"/>
        </w:rPr>
      </w:pPr>
      <w:r w:rsidRPr="00A23A9D">
        <w:rPr>
          <w:rFonts w:ascii="Times New Roman" w:hAnsi="Times New Roman" w:cs="Times New Roman"/>
        </w:rPr>
        <w:t>Transformation: Unpivoting of contribution columns to create a “Year” field and corresponding “Contribution Amount” column. This transformation enabled trend analysis and forecasting.</w:t>
      </w:r>
    </w:p>
    <w:p w14:paraId="23D4FB4E" w14:textId="77777777" w:rsidR="00A338A8" w:rsidRPr="00A23A9D" w:rsidRDefault="00A338A8" w:rsidP="00A23A9D">
      <w:pPr>
        <w:pStyle w:val="ListParagraph"/>
        <w:numPr>
          <w:ilvl w:val="0"/>
          <w:numId w:val="5"/>
        </w:numPr>
        <w:spacing w:line="240" w:lineRule="auto"/>
        <w:rPr>
          <w:rFonts w:ascii="Times New Roman" w:hAnsi="Times New Roman" w:cs="Times New Roman"/>
        </w:rPr>
      </w:pPr>
      <w:r w:rsidRPr="00A23A9D">
        <w:rPr>
          <w:rFonts w:ascii="Times New Roman" w:hAnsi="Times New Roman" w:cs="Times New Roman"/>
        </w:rPr>
        <w:t>Feature Engineering: Addition of yearly growth percentages (2022–2023 and 2023–2024) to measure performance over time.</w:t>
      </w:r>
    </w:p>
    <w:p w14:paraId="46A0137B" w14:textId="19D594A5" w:rsidR="00916212"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 xml:space="preserve">Power BI was </w:t>
      </w:r>
      <w:r w:rsidR="00C61770" w:rsidRPr="00A23A9D">
        <w:rPr>
          <w:rFonts w:ascii="Times New Roman" w:hAnsi="Times New Roman" w:cs="Times New Roman"/>
        </w:rPr>
        <w:t>utilized</w:t>
      </w:r>
      <w:r w:rsidRPr="00A23A9D">
        <w:rPr>
          <w:rFonts w:ascii="Times New Roman" w:hAnsi="Times New Roman" w:cs="Times New Roman"/>
        </w:rPr>
        <w:t xml:space="preserve"> extensively in </w:t>
      </w:r>
      <w:r w:rsidR="00C61770" w:rsidRPr="00A23A9D">
        <w:rPr>
          <w:rFonts w:ascii="Times New Roman" w:hAnsi="Times New Roman" w:cs="Times New Roman"/>
        </w:rPr>
        <w:t>visualizing</w:t>
      </w:r>
      <w:r w:rsidRPr="00A23A9D">
        <w:rPr>
          <w:rFonts w:ascii="Times New Roman" w:hAnsi="Times New Roman" w:cs="Times New Roman"/>
        </w:rPr>
        <w:t xml:space="preserve"> and managing the data. Interactive dashboards were created to present annual contributions by suburb, top-performing schools each year, and comparative growth between the metro and the region. Integration with the forecast on the platform enhanced the project even further as it offered projections of contributions up to 2025 and 2026. Not only did the </w:t>
      </w:r>
      <w:r w:rsidR="00C61770" w:rsidRPr="00A23A9D">
        <w:rPr>
          <w:rFonts w:ascii="Times New Roman" w:hAnsi="Times New Roman" w:cs="Times New Roman"/>
        </w:rPr>
        <w:t>visualizations</w:t>
      </w:r>
      <w:r w:rsidRPr="00A23A9D">
        <w:rPr>
          <w:rFonts w:ascii="Times New Roman" w:hAnsi="Times New Roman" w:cs="Times New Roman"/>
        </w:rPr>
        <w:t xml:space="preserve"> reveal inherent differences, but they also showed the trajectory of the gap in funding.</w:t>
      </w:r>
    </w:p>
    <w:p w14:paraId="217C053F" w14:textId="77777777" w:rsidR="00C61770" w:rsidRPr="00A23A9D" w:rsidRDefault="00C61770" w:rsidP="00A23A9D">
      <w:pPr>
        <w:spacing w:line="240" w:lineRule="auto"/>
        <w:rPr>
          <w:rFonts w:ascii="Times New Roman" w:hAnsi="Times New Roman" w:cs="Times New Roman"/>
        </w:rPr>
      </w:pPr>
    </w:p>
    <w:p w14:paraId="4987F55A" w14:textId="77777777" w:rsidR="00C61770" w:rsidRPr="00A23A9D" w:rsidRDefault="00C61770" w:rsidP="00A23A9D">
      <w:pPr>
        <w:spacing w:line="240" w:lineRule="auto"/>
        <w:rPr>
          <w:rFonts w:ascii="Times New Roman" w:hAnsi="Times New Roman" w:cs="Times New Roman"/>
        </w:rPr>
      </w:pPr>
    </w:p>
    <w:p w14:paraId="189EB767" w14:textId="77777777" w:rsidR="00C61770" w:rsidRPr="00A23A9D" w:rsidRDefault="00C61770" w:rsidP="00A23A9D">
      <w:pPr>
        <w:spacing w:line="240" w:lineRule="auto"/>
        <w:rPr>
          <w:rFonts w:ascii="Times New Roman" w:hAnsi="Times New Roman" w:cs="Times New Roman"/>
        </w:rPr>
      </w:pPr>
    </w:p>
    <w:p w14:paraId="767E4AF6" w14:textId="77777777" w:rsidR="00C61770" w:rsidRPr="00A23A9D" w:rsidRDefault="00C61770" w:rsidP="00A23A9D">
      <w:pPr>
        <w:spacing w:line="240" w:lineRule="auto"/>
        <w:rPr>
          <w:rFonts w:ascii="Times New Roman" w:hAnsi="Times New Roman" w:cs="Times New Roman"/>
        </w:rPr>
      </w:pPr>
    </w:p>
    <w:p w14:paraId="67CE8C95" w14:textId="77777777" w:rsidR="00C61770" w:rsidRPr="00A23A9D" w:rsidRDefault="00C61770" w:rsidP="00A23A9D">
      <w:pPr>
        <w:spacing w:line="240" w:lineRule="auto"/>
        <w:rPr>
          <w:rFonts w:ascii="Times New Roman" w:hAnsi="Times New Roman" w:cs="Times New Roman"/>
        </w:rPr>
      </w:pPr>
    </w:p>
    <w:p w14:paraId="5AD99936" w14:textId="77777777" w:rsidR="00C61770" w:rsidRPr="00A23A9D" w:rsidRDefault="00C61770" w:rsidP="00A23A9D">
      <w:pPr>
        <w:spacing w:line="240" w:lineRule="auto"/>
        <w:rPr>
          <w:rFonts w:ascii="Times New Roman" w:hAnsi="Times New Roman" w:cs="Times New Roman"/>
        </w:rPr>
      </w:pPr>
    </w:p>
    <w:p w14:paraId="4AC14002" w14:textId="77777777" w:rsidR="00C61770" w:rsidRPr="00A23A9D" w:rsidRDefault="00C61770" w:rsidP="00A23A9D">
      <w:pPr>
        <w:spacing w:line="240" w:lineRule="auto"/>
        <w:rPr>
          <w:rFonts w:ascii="Times New Roman" w:hAnsi="Times New Roman" w:cs="Times New Roman"/>
        </w:rPr>
      </w:pPr>
    </w:p>
    <w:p w14:paraId="4EB7DED0" w14:textId="77777777" w:rsidR="00C61770" w:rsidRPr="00A23A9D" w:rsidRDefault="00C61770" w:rsidP="00A23A9D">
      <w:pPr>
        <w:spacing w:line="240" w:lineRule="auto"/>
        <w:rPr>
          <w:rFonts w:ascii="Times New Roman" w:hAnsi="Times New Roman" w:cs="Times New Roman"/>
        </w:rPr>
      </w:pPr>
    </w:p>
    <w:p w14:paraId="45CF66F8" w14:textId="77777777" w:rsidR="00C61770" w:rsidRPr="00A23A9D" w:rsidRDefault="00C61770" w:rsidP="00A23A9D">
      <w:pPr>
        <w:spacing w:line="240" w:lineRule="auto"/>
        <w:rPr>
          <w:rFonts w:ascii="Times New Roman" w:hAnsi="Times New Roman" w:cs="Times New Roman"/>
        </w:rPr>
      </w:pPr>
    </w:p>
    <w:p w14:paraId="509B117F" w14:textId="33A612BA" w:rsidR="00A338A8" w:rsidRPr="00A23A9D" w:rsidRDefault="00916212" w:rsidP="00A23A9D">
      <w:pPr>
        <w:pStyle w:val="Heading2"/>
        <w:spacing w:line="240" w:lineRule="auto"/>
        <w:rPr>
          <w:rFonts w:ascii="Times New Roman" w:hAnsi="Times New Roman" w:cs="Times New Roman"/>
          <w:sz w:val="24"/>
          <w:szCs w:val="24"/>
        </w:rPr>
      </w:pPr>
      <w:bookmarkStart w:id="3" w:name="_Toc209726785"/>
      <w:r w:rsidRPr="00A23A9D">
        <w:rPr>
          <w:rFonts w:ascii="Times New Roman" w:hAnsi="Times New Roman" w:cs="Times New Roman"/>
          <w:sz w:val="24"/>
          <w:szCs w:val="24"/>
        </w:rPr>
        <w:lastRenderedPageBreak/>
        <w:t>Data Analytics Methodology</w:t>
      </w:r>
      <w:bookmarkEnd w:id="3"/>
    </w:p>
    <w:p w14:paraId="4BECE3AC" w14:textId="6A1A990E" w:rsidR="007B57D2" w:rsidRPr="00A23A9D" w:rsidRDefault="007B57D2" w:rsidP="00A23A9D">
      <w:pPr>
        <w:spacing w:line="240" w:lineRule="auto"/>
        <w:rPr>
          <w:rFonts w:ascii="Times New Roman" w:hAnsi="Times New Roman" w:cs="Times New Roman"/>
        </w:rPr>
      </w:pPr>
      <w:r w:rsidRPr="00A23A9D">
        <w:rPr>
          <w:rFonts w:ascii="Times New Roman" w:hAnsi="Times New Roman" w:cs="Times New Roman"/>
        </w:rPr>
        <w:t xml:space="preserve">An existing methodology was applied in the transformation of raw data to insights in such a manner that the project resolved the research problem in both predictive and descriptive contexts. The procedure of statistical manipulation, regression analysis, geospatial </w:t>
      </w:r>
      <w:r w:rsidR="00C61770" w:rsidRPr="00A23A9D">
        <w:rPr>
          <w:rFonts w:ascii="Times New Roman" w:hAnsi="Times New Roman" w:cs="Times New Roman"/>
        </w:rPr>
        <w:t>visualization</w:t>
      </w:r>
      <w:r w:rsidRPr="00A23A9D">
        <w:rPr>
          <w:rFonts w:ascii="Times New Roman" w:hAnsi="Times New Roman" w:cs="Times New Roman"/>
        </w:rPr>
        <w:t>, and time-series forecasting were all chosen as part of the process to play a particular role in elaborating on funding inequalities.</w:t>
      </w:r>
    </w:p>
    <w:p w14:paraId="509A9926" w14:textId="45E1E166" w:rsidR="00C773D2" w:rsidRPr="00A23A9D" w:rsidRDefault="00C773D2" w:rsidP="00A23A9D">
      <w:pPr>
        <w:spacing w:line="240" w:lineRule="auto"/>
        <w:rPr>
          <w:rFonts w:ascii="Times New Roman" w:hAnsi="Times New Roman" w:cs="Times New Roman"/>
        </w:rPr>
      </w:pPr>
      <w:r w:rsidRPr="00A23A9D">
        <w:rPr>
          <w:rFonts w:ascii="Times New Roman" w:hAnsi="Times New Roman" w:cs="Times New Roman"/>
        </w:rPr>
        <w:t xml:space="preserve">In step one, the descriptive statistics were used </w:t>
      </w:r>
      <w:r w:rsidR="00C61770" w:rsidRPr="00A23A9D">
        <w:rPr>
          <w:rFonts w:ascii="Times New Roman" w:hAnsi="Times New Roman" w:cs="Times New Roman"/>
        </w:rPr>
        <w:t>to</w:t>
      </w:r>
      <w:r w:rsidRPr="00A23A9D">
        <w:rPr>
          <w:rFonts w:ascii="Times New Roman" w:hAnsi="Times New Roman" w:cs="Times New Roman"/>
        </w:rPr>
        <w:t xml:space="preserve"> give an appropriate representation of the data.  In both the metro and the regional schools, the measures of contribution (means, medians and standard deviations) were determined.  It assisted in determining common trends, including the significantly higher metro school averages compared to regional school averages.  The descriptive analysis also gave us knowledge on variations in years on which more sophisticated the analysis would be based.</w:t>
      </w:r>
    </w:p>
    <w:p w14:paraId="7590F96B" w14:textId="28EE6511" w:rsidR="00C773D2" w:rsidRPr="00A23A9D" w:rsidRDefault="00C773D2" w:rsidP="00A23A9D">
      <w:pPr>
        <w:spacing w:line="240" w:lineRule="auto"/>
        <w:rPr>
          <w:rFonts w:ascii="Times New Roman" w:hAnsi="Times New Roman" w:cs="Times New Roman"/>
        </w:rPr>
      </w:pPr>
      <w:r w:rsidRPr="00A23A9D">
        <w:rPr>
          <w:rFonts w:ascii="Times New Roman" w:hAnsi="Times New Roman" w:cs="Times New Roman"/>
        </w:rPr>
        <w:t xml:space="preserve"> The second step involved trend analysis to determine the dynamics of the donation in 2022 and 2024.  The analysis showed that Metro schools had continued to grow, and the regional schools remained stable, which were plotted to the growth rates and annual totals.  Power BI line charts confirmed the same and graphically </w:t>
      </w:r>
      <w:r w:rsidR="00C61770" w:rsidRPr="00A23A9D">
        <w:rPr>
          <w:rFonts w:ascii="Times New Roman" w:hAnsi="Times New Roman" w:cs="Times New Roman"/>
        </w:rPr>
        <w:t>analyzed</w:t>
      </w:r>
      <w:r w:rsidRPr="00A23A9D">
        <w:rPr>
          <w:rFonts w:ascii="Times New Roman" w:hAnsi="Times New Roman" w:cs="Times New Roman"/>
        </w:rPr>
        <w:t xml:space="preserve"> the difference over time.</w:t>
      </w:r>
    </w:p>
    <w:p w14:paraId="5F6B9BAD" w14:textId="2426138B" w:rsidR="0089147D" w:rsidRPr="00A23A9D" w:rsidRDefault="0089147D" w:rsidP="00A23A9D">
      <w:pPr>
        <w:spacing w:line="240" w:lineRule="auto"/>
        <w:rPr>
          <w:rFonts w:ascii="Times New Roman" w:hAnsi="Times New Roman" w:cs="Times New Roman"/>
        </w:rPr>
      </w:pPr>
      <w:r w:rsidRPr="00A23A9D">
        <w:rPr>
          <w:rFonts w:ascii="Times New Roman" w:hAnsi="Times New Roman" w:cs="Times New Roman"/>
        </w:rPr>
        <w:t>To move beyond description, regression analysis was used to quantify relationships between contributions and explanatory variables. Urban or metropolitan residence and the size of the school were the explanatory variables used. Regression results determined metropolitan classification to be a good predictor of higher contributions after controlling for other variables. The model produced an outstanding R² value, which demonstrated good explanatory power and confirmed that inequity was not random but systematic.</w:t>
      </w:r>
    </w:p>
    <w:p w14:paraId="0A00294A" w14:textId="12EE5F78" w:rsidR="00C773D2" w:rsidRPr="00A23A9D" w:rsidRDefault="00C773D2" w:rsidP="00A23A9D">
      <w:pPr>
        <w:spacing w:line="240" w:lineRule="auto"/>
        <w:rPr>
          <w:rFonts w:ascii="Times New Roman" w:hAnsi="Times New Roman" w:cs="Times New Roman"/>
        </w:rPr>
      </w:pPr>
      <w:r w:rsidRPr="00A23A9D">
        <w:rPr>
          <w:rFonts w:ascii="Times New Roman" w:hAnsi="Times New Roman" w:cs="Times New Roman"/>
        </w:rPr>
        <w:t xml:space="preserve">The fourth dimension has been introduced by geospatial </w:t>
      </w:r>
      <w:r w:rsidR="00C61770" w:rsidRPr="00A23A9D">
        <w:rPr>
          <w:rFonts w:ascii="Times New Roman" w:hAnsi="Times New Roman" w:cs="Times New Roman"/>
        </w:rPr>
        <w:t>visualization</w:t>
      </w:r>
      <w:r w:rsidRPr="00A23A9D">
        <w:rPr>
          <w:rFonts w:ascii="Times New Roman" w:hAnsi="Times New Roman" w:cs="Times New Roman"/>
        </w:rPr>
        <w:t xml:space="preserve">. Power BI's locality fields were used to map donations to see how money was distributed about Victoria. This confirmed the higher deprivation in the north and west of the country while also pinpointing </w:t>
      </w:r>
      <w:r w:rsidR="00C61770" w:rsidRPr="00A23A9D">
        <w:rPr>
          <w:rFonts w:ascii="Times New Roman" w:hAnsi="Times New Roman" w:cs="Times New Roman"/>
        </w:rPr>
        <w:t>the dense</w:t>
      </w:r>
      <w:r w:rsidRPr="00A23A9D">
        <w:rPr>
          <w:rFonts w:ascii="Times New Roman" w:hAnsi="Times New Roman" w:cs="Times New Roman"/>
        </w:rPr>
        <w:t xml:space="preserve"> areas of high contribution in the urban east and south regions of the country. Since these maps translate the disparities into observable geographic patterns, governments can really benefit a great deal from them.</w:t>
      </w:r>
    </w:p>
    <w:p w14:paraId="433CB0DB" w14:textId="77777777" w:rsidR="00C773D2" w:rsidRPr="00A23A9D" w:rsidRDefault="00C773D2" w:rsidP="00A23A9D">
      <w:pPr>
        <w:spacing w:line="240" w:lineRule="auto"/>
        <w:rPr>
          <w:rFonts w:ascii="Times New Roman" w:hAnsi="Times New Roman" w:cs="Times New Roman"/>
        </w:rPr>
      </w:pPr>
      <w:r w:rsidRPr="00A23A9D">
        <w:rPr>
          <w:rFonts w:ascii="Times New Roman" w:hAnsi="Times New Roman" w:cs="Times New Roman"/>
        </w:rPr>
        <w:t>Lastly, Power BI's built-in analytics pane was used for the time-series forecasting. According to the forecast, the metro-regional divide will continue to increase if contribution trends are carried forward two years, to 2025 and 2026. Confidence intervals were added to allow for transparency and an appreciation of uncertainty while still allowing for a clear trend.</w:t>
      </w:r>
    </w:p>
    <w:p w14:paraId="40C8CC86" w14:textId="7B5CB1BF" w:rsidR="00C773D2" w:rsidRPr="00A23A9D" w:rsidRDefault="00C773D2" w:rsidP="00A23A9D">
      <w:pPr>
        <w:spacing w:line="240" w:lineRule="auto"/>
        <w:rPr>
          <w:rFonts w:ascii="Times New Roman" w:hAnsi="Times New Roman" w:cs="Times New Roman"/>
        </w:rPr>
      </w:pPr>
      <w:r w:rsidRPr="00A23A9D">
        <w:rPr>
          <w:rFonts w:ascii="Times New Roman" w:hAnsi="Times New Roman" w:cs="Times New Roman"/>
        </w:rPr>
        <w:t xml:space="preserve">Together, these techniques created a multi-layered approach involving forecasting (to predict the future), regression (to explore relationships), </w:t>
      </w:r>
      <w:r w:rsidR="00C61770" w:rsidRPr="00A23A9D">
        <w:rPr>
          <w:rFonts w:ascii="Times New Roman" w:hAnsi="Times New Roman" w:cs="Times New Roman"/>
        </w:rPr>
        <w:t>visualization</w:t>
      </w:r>
      <w:r w:rsidRPr="00A23A9D">
        <w:rPr>
          <w:rFonts w:ascii="Times New Roman" w:hAnsi="Times New Roman" w:cs="Times New Roman"/>
        </w:rPr>
        <w:t xml:space="preserve"> (to show differences), and descriptive analysis (to set the scene). </w:t>
      </w:r>
      <w:r w:rsidR="00C61770" w:rsidRPr="00A23A9D">
        <w:rPr>
          <w:rFonts w:ascii="Times New Roman" w:hAnsi="Times New Roman" w:cs="Times New Roman"/>
        </w:rPr>
        <w:t>Because of</w:t>
      </w:r>
      <w:r w:rsidRPr="00A23A9D">
        <w:rPr>
          <w:rFonts w:ascii="Times New Roman" w:hAnsi="Times New Roman" w:cs="Times New Roman"/>
        </w:rPr>
        <w:t xml:space="preserve"> this integration, the analysis was valuable for the formulation of financing policy from a practical and technical perspective.</w:t>
      </w:r>
    </w:p>
    <w:p w14:paraId="6C742270" w14:textId="77777777" w:rsidR="00C61770" w:rsidRPr="00A23A9D" w:rsidRDefault="00C61770" w:rsidP="00A23A9D">
      <w:pPr>
        <w:spacing w:line="240" w:lineRule="auto"/>
        <w:rPr>
          <w:rFonts w:ascii="Times New Roman" w:hAnsi="Times New Roman" w:cs="Times New Roman"/>
        </w:rPr>
      </w:pPr>
    </w:p>
    <w:p w14:paraId="70017DAB" w14:textId="77777777" w:rsidR="00C61770" w:rsidRPr="00A23A9D" w:rsidRDefault="00C61770" w:rsidP="00A23A9D">
      <w:pPr>
        <w:spacing w:line="240" w:lineRule="auto"/>
        <w:rPr>
          <w:rFonts w:ascii="Times New Roman" w:hAnsi="Times New Roman" w:cs="Times New Roman"/>
        </w:rPr>
      </w:pPr>
    </w:p>
    <w:p w14:paraId="7CD2DA8F" w14:textId="16DF0C71" w:rsidR="00916212" w:rsidRPr="00A23A9D" w:rsidRDefault="00C61770" w:rsidP="00A23A9D">
      <w:pPr>
        <w:pStyle w:val="Heading2"/>
        <w:spacing w:line="240" w:lineRule="auto"/>
        <w:rPr>
          <w:rFonts w:ascii="Times New Roman" w:hAnsi="Times New Roman" w:cs="Times New Roman"/>
          <w:sz w:val="24"/>
          <w:szCs w:val="24"/>
        </w:rPr>
      </w:pPr>
      <w:bookmarkStart w:id="4" w:name="_Toc209726786"/>
      <w:r w:rsidRPr="00A23A9D">
        <w:rPr>
          <w:rFonts w:ascii="Times New Roman" w:hAnsi="Times New Roman" w:cs="Times New Roman"/>
          <w:sz w:val="24"/>
          <w:szCs w:val="24"/>
        </w:rPr>
        <w:lastRenderedPageBreak/>
        <w:t>Visualization</w:t>
      </w:r>
      <w:r w:rsidR="00916212" w:rsidRPr="00A23A9D">
        <w:rPr>
          <w:rFonts w:ascii="Times New Roman" w:hAnsi="Times New Roman" w:cs="Times New Roman"/>
          <w:sz w:val="24"/>
          <w:szCs w:val="24"/>
        </w:rPr>
        <w:t xml:space="preserve"> and Results Evaluation</w:t>
      </w:r>
      <w:bookmarkEnd w:id="4"/>
    </w:p>
    <w:p w14:paraId="13A5EB52" w14:textId="22BEEFFD" w:rsidR="00C773D2" w:rsidRPr="00A23A9D" w:rsidRDefault="00C773D2" w:rsidP="00A23A9D">
      <w:pPr>
        <w:spacing w:line="240" w:lineRule="auto"/>
        <w:rPr>
          <w:rFonts w:ascii="Times New Roman" w:hAnsi="Times New Roman" w:cs="Times New Roman"/>
        </w:rPr>
      </w:pPr>
      <w:r w:rsidRPr="00A23A9D">
        <w:rPr>
          <w:rFonts w:ascii="Times New Roman" w:hAnsi="Times New Roman" w:cs="Times New Roman"/>
        </w:rPr>
        <w:t xml:space="preserve">The Power BI dashboards developed for this project allowed for a </w:t>
      </w:r>
      <w:r w:rsidR="00C61770" w:rsidRPr="00A23A9D">
        <w:rPr>
          <w:rFonts w:ascii="Times New Roman" w:hAnsi="Times New Roman" w:cs="Times New Roman"/>
        </w:rPr>
        <w:t>visualization</w:t>
      </w:r>
      <w:r w:rsidRPr="00A23A9D">
        <w:rPr>
          <w:rFonts w:ascii="Times New Roman" w:hAnsi="Times New Roman" w:cs="Times New Roman"/>
        </w:rPr>
        <w:t xml:space="preserve"> of the differences in voluntary donations between Victoria's schools. </w:t>
      </w:r>
      <w:r w:rsidR="00C61770" w:rsidRPr="00A23A9D">
        <w:rPr>
          <w:rFonts w:ascii="Times New Roman" w:hAnsi="Times New Roman" w:cs="Times New Roman"/>
        </w:rPr>
        <w:t>Visualizations</w:t>
      </w:r>
      <w:r w:rsidRPr="00A23A9D">
        <w:rPr>
          <w:rFonts w:ascii="Times New Roman" w:hAnsi="Times New Roman" w:cs="Times New Roman"/>
        </w:rPr>
        <w:t xml:space="preserve"> are a vital part of conveying information to not only those who are technically literate, but those who are not.</w:t>
      </w:r>
    </w:p>
    <w:p w14:paraId="4D409F27" w14:textId="481E85BC" w:rsidR="007B57D2" w:rsidRPr="00A23A9D" w:rsidRDefault="007B57D2" w:rsidP="00A23A9D">
      <w:pPr>
        <w:spacing w:line="240" w:lineRule="auto"/>
        <w:rPr>
          <w:rFonts w:ascii="Times New Roman" w:hAnsi="Times New Roman" w:cs="Times New Roman"/>
        </w:rPr>
      </w:pPr>
      <w:r w:rsidRPr="00A23A9D">
        <w:rPr>
          <w:rFonts w:ascii="Times New Roman" w:hAnsi="Times New Roman" w:cs="Times New Roman"/>
        </w:rPr>
        <w:t xml:space="preserve">The same pattern repeated in the suburb (2022-2024) </w:t>
      </w:r>
      <w:r w:rsidR="00C61770" w:rsidRPr="00A23A9D">
        <w:rPr>
          <w:rFonts w:ascii="Times New Roman" w:hAnsi="Times New Roman" w:cs="Times New Roman"/>
        </w:rPr>
        <w:t>lots of</w:t>
      </w:r>
      <w:r w:rsidRPr="00A23A9D">
        <w:rPr>
          <w:rFonts w:ascii="Times New Roman" w:hAnsi="Times New Roman" w:cs="Times New Roman"/>
        </w:rPr>
        <w:t xml:space="preserve"> funds: the city suburbs </w:t>
      </w:r>
      <w:r w:rsidR="00C61770" w:rsidRPr="00A23A9D">
        <w:rPr>
          <w:rFonts w:ascii="Times New Roman" w:hAnsi="Times New Roman" w:cs="Times New Roman"/>
        </w:rPr>
        <w:t>donated</w:t>
      </w:r>
      <w:r w:rsidRPr="00A23A9D">
        <w:rPr>
          <w:rFonts w:ascii="Times New Roman" w:hAnsi="Times New Roman" w:cs="Times New Roman"/>
        </w:rPr>
        <w:t xml:space="preserve"> more significantly, and metropolitan East and South donated far more than regional North and West. The result again echoed the descriptive statistics and confirmed that inequity is no isolated event but a recurring theme in all the three years.</w:t>
      </w:r>
    </w:p>
    <w:p w14:paraId="44E41AD5" w14:textId="25B2483F" w:rsidR="00916212" w:rsidRPr="00A23A9D" w:rsidRDefault="00916212" w:rsidP="00A23A9D">
      <w:pPr>
        <w:spacing w:line="240" w:lineRule="auto"/>
        <w:jc w:val="center"/>
        <w:rPr>
          <w:rFonts w:ascii="Times New Roman" w:hAnsi="Times New Roman" w:cs="Times New Roman"/>
        </w:rPr>
      </w:pPr>
      <w:r w:rsidRPr="00A23A9D">
        <w:rPr>
          <w:rFonts w:ascii="Times New Roman" w:hAnsi="Times New Roman" w:cs="Times New Roman"/>
          <w:noProof/>
        </w:rPr>
        <w:drawing>
          <wp:inline distT="0" distB="0" distL="0" distR="0" wp14:anchorId="280DB9D1" wp14:editId="2087C883">
            <wp:extent cx="4645172" cy="2667000"/>
            <wp:effectExtent l="0" t="0" r="3175" b="0"/>
            <wp:docPr id="186339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90062" name="Picture 1"/>
                    <pic:cNvPicPr>
                      <a:picLocks noChangeAspect="1"/>
                    </pic:cNvPicPr>
                  </pic:nvPicPr>
                  <pic:blipFill>
                    <a:blip r:embed="rId9"/>
                    <a:stretch>
                      <a:fillRect/>
                    </a:stretch>
                  </pic:blipFill>
                  <pic:spPr>
                    <a:xfrm>
                      <a:off x="0" y="0"/>
                      <a:ext cx="4651482" cy="2670623"/>
                    </a:xfrm>
                    <a:prstGeom prst="rect">
                      <a:avLst/>
                    </a:prstGeom>
                  </pic:spPr>
                </pic:pic>
              </a:graphicData>
            </a:graphic>
          </wp:inline>
        </w:drawing>
      </w:r>
    </w:p>
    <w:p w14:paraId="69FF5180" w14:textId="6E2437E5" w:rsidR="007B57D2" w:rsidRPr="00A23A9D" w:rsidRDefault="007B57D2" w:rsidP="00A23A9D">
      <w:pPr>
        <w:spacing w:line="240" w:lineRule="auto"/>
        <w:rPr>
          <w:rFonts w:ascii="Times New Roman" w:hAnsi="Times New Roman" w:cs="Times New Roman"/>
        </w:rPr>
      </w:pPr>
      <w:r w:rsidRPr="00A23A9D">
        <w:rPr>
          <w:rFonts w:ascii="Times New Roman" w:hAnsi="Times New Roman" w:cs="Times New Roman"/>
        </w:rPr>
        <w:t>Another measure that provided additional information was a comparison of the growth trend of the metro and region schools. Line graphs indicated the reality that the increase in the metropolitan schools was slightly stable over the years, as compared to much or very low fluctuations in the regional schools. This variation confirmed previous concerns raised in the industry report, that not only the rule, but also variances are increasing with time.</w:t>
      </w:r>
    </w:p>
    <w:p w14:paraId="03939483" w14:textId="3879A36D" w:rsidR="00916212" w:rsidRPr="00A23A9D" w:rsidRDefault="00916212" w:rsidP="00A23A9D">
      <w:pPr>
        <w:spacing w:line="240" w:lineRule="auto"/>
        <w:jc w:val="center"/>
        <w:rPr>
          <w:rFonts w:ascii="Times New Roman" w:hAnsi="Times New Roman" w:cs="Times New Roman"/>
        </w:rPr>
      </w:pPr>
      <w:r w:rsidRPr="00A23A9D">
        <w:rPr>
          <w:rFonts w:ascii="Times New Roman" w:hAnsi="Times New Roman" w:cs="Times New Roman"/>
          <w:noProof/>
        </w:rPr>
        <w:drawing>
          <wp:inline distT="0" distB="0" distL="0" distR="0" wp14:anchorId="2D7F6DA2" wp14:editId="68A1D9D5">
            <wp:extent cx="4235174" cy="2286000"/>
            <wp:effectExtent l="0" t="0" r="0" b="0"/>
            <wp:docPr id="201501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15819" name="Picture 1"/>
                    <pic:cNvPicPr>
                      <a:picLocks noChangeAspect="1"/>
                    </pic:cNvPicPr>
                  </pic:nvPicPr>
                  <pic:blipFill>
                    <a:blip r:embed="rId10"/>
                    <a:stretch>
                      <a:fillRect/>
                    </a:stretch>
                  </pic:blipFill>
                  <pic:spPr>
                    <a:xfrm>
                      <a:off x="0" y="0"/>
                      <a:ext cx="4240112" cy="2288666"/>
                    </a:xfrm>
                    <a:prstGeom prst="rect">
                      <a:avLst/>
                    </a:prstGeom>
                  </pic:spPr>
                </pic:pic>
              </a:graphicData>
            </a:graphic>
          </wp:inline>
        </w:drawing>
      </w:r>
    </w:p>
    <w:p w14:paraId="7694417C" w14:textId="77777777" w:rsidR="00C61770" w:rsidRPr="00A23A9D" w:rsidRDefault="00C61770" w:rsidP="00A23A9D">
      <w:pPr>
        <w:spacing w:line="240" w:lineRule="auto"/>
        <w:jc w:val="center"/>
        <w:rPr>
          <w:rFonts w:ascii="Times New Roman" w:hAnsi="Times New Roman" w:cs="Times New Roman"/>
        </w:rPr>
      </w:pPr>
    </w:p>
    <w:p w14:paraId="1CCFEC9A" w14:textId="23F8681D" w:rsidR="007B57D2" w:rsidRPr="00A23A9D" w:rsidRDefault="007B57D2" w:rsidP="00A23A9D">
      <w:pPr>
        <w:spacing w:line="240" w:lineRule="auto"/>
        <w:rPr>
          <w:rFonts w:ascii="Times New Roman" w:hAnsi="Times New Roman" w:cs="Times New Roman"/>
        </w:rPr>
      </w:pPr>
      <w:r w:rsidRPr="00A23A9D">
        <w:rPr>
          <w:rFonts w:ascii="Times New Roman" w:hAnsi="Times New Roman" w:cs="Times New Roman"/>
        </w:rPr>
        <w:lastRenderedPageBreak/>
        <w:t xml:space="preserve">There was also the </w:t>
      </w:r>
      <w:r w:rsidR="00C61770" w:rsidRPr="00A23A9D">
        <w:rPr>
          <w:rFonts w:ascii="Times New Roman" w:hAnsi="Times New Roman" w:cs="Times New Roman"/>
        </w:rPr>
        <w:t>story</w:t>
      </w:r>
      <w:r w:rsidRPr="00A23A9D">
        <w:rPr>
          <w:rFonts w:ascii="Times New Roman" w:hAnsi="Times New Roman" w:cs="Times New Roman"/>
        </w:rPr>
        <w:t xml:space="preserve"> to be told in the league tables of the best schools annually. There was an implied advantage of leading the way by the same urban schools. The poorer or smaller communities were structurally disadvantaged by having barely a presence in the upper ranks, </w:t>
      </w:r>
      <w:r w:rsidR="00C61770" w:rsidRPr="00A23A9D">
        <w:rPr>
          <w:rFonts w:ascii="Times New Roman" w:hAnsi="Times New Roman" w:cs="Times New Roman"/>
        </w:rPr>
        <w:t>except for</w:t>
      </w:r>
      <w:r w:rsidRPr="00A23A9D">
        <w:rPr>
          <w:rFonts w:ascii="Times New Roman" w:hAnsi="Times New Roman" w:cs="Times New Roman"/>
        </w:rPr>
        <w:t xml:space="preserve"> the regional schools.</w:t>
      </w:r>
    </w:p>
    <w:p w14:paraId="3487422F" w14:textId="77777777" w:rsidR="00C61770" w:rsidRPr="00A23A9D" w:rsidRDefault="00C61770" w:rsidP="00A23A9D">
      <w:pPr>
        <w:spacing w:line="240" w:lineRule="auto"/>
        <w:rPr>
          <w:rFonts w:ascii="Times New Roman" w:hAnsi="Times New Roman" w:cs="Times New Roman"/>
        </w:rPr>
      </w:pPr>
    </w:p>
    <w:p w14:paraId="00E14791" w14:textId="77777777" w:rsidR="00916212" w:rsidRPr="00A23A9D" w:rsidRDefault="00916212" w:rsidP="00A23A9D">
      <w:pPr>
        <w:spacing w:line="240" w:lineRule="auto"/>
        <w:jc w:val="center"/>
        <w:rPr>
          <w:rFonts w:ascii="Times New Roman" w:hAnsi="Times New Roman" w:cs="Times New Roman"/>
        </w:rPr>
      </w:pPr>
      <w:r w:rsidRPr="00A23A9D">
        <w:rPr>
          <w:rFonts w:ascii="Times New Roman" w:hAnsi="Times New Roman" w:cs="Times New Roman"/>
          <w:noProof/>
        </w:rPr>
        <w:drawing>
          <wp:inline distT="0" distB="0" distL="0" distR="0" wp14:anchorId="48A63199" wp14:editId="3CDD0E65">
            <wp:extent cx="3991699" cy="2257425"/>
            <wp:effectExtent l="0" t="0" r="8890" b="0"/>
            <wp:docPr id="49797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77474" name="Picture 1"/>
                    <pic:cNvPicPr>
                      <a:picLocks noChangeAspect="1"/>
                    </pic:cNvPicPr>
                  </pic:nvPicPr>
                  <pic:blipFill>
                    <a:blip r:embed="rId11"/>
                    <a:stretch>
                      <a:fillRect/>
                    </a:stretch>
                  </pic:blipFill>
                  <pic:spPr>
                    <a:xfrm>
                      <a:off x="0" y="0"/>
                      <a:ext cx="3997855" cy="2260906"/>
                    </a:xfrm>
                    <a:prstGeom prst="rect">
                      <a:avLst/>
                    </a:prstGeom>
                  </pic:spPr>
                </pic:pic>
              </a:graphicData>
            </a:graphic>
          </wp:inline>
        </w:drawing>
      </w:r>
    </w:p>
    <w:p w14:paraId="2303ED98" w14:textId="77777777" w:rsidR="00916212" w:rsidRPr="00A23A9D" w:rsidRDefault="00916212" w:rsidP="00A23A9D">
      <w:pPr>
        <w:spacing w:line="240" w:lineRule="auto"/>
        <w:jc w:val="center"/>
        <w:rPr>
          <w:rFonts w:ascii="Times New Roman" w:hAnsi="Times New Roman" w:cs="Times New Roman"/>
        </w:rPr>
      </w:pPr>
      <w:r w:rsidRPr="00A23A9D">
        <w:rPr>
          <w:rFonts w:ascii="Times New Roman" w:hAnsi="Times New Roman" w:cs="Times New Roman"/>
          <w:noProof/>
        </w:rPr>
        <w:drawing>
          <wp:inline distT="0" distB="0" distL="0" distR="0" wp14:anchorId="400235E0" wp14:editId="65AFF512">
            <wp:extent cx="3802317" cy="2143125"/>
            <wp:effectExtent l="0" t="0" r="8255" b="0"/>
            <wp:docPr id="190063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39402" name="Picture 1"/>
                    <pic:cNvPicPr>
                      <a:picLocks noChangeAspect="1"/>
                    </pic:cNvPicPr>
                  </pic:nvPicPr>
                  <pic:blipFill>
                    <a:blip r:embed="rId12"/>
                    <a:stretch>
                      <a:fillRect/>
                    </a:stretch>
                  </pic:blipFill>
                  <pic:spPr>
                    <a:xfrm>
                      <a:off x="0" y="0"/>
                      <a:ext cx="3823803" cy="2155235"/>
                    </a:xfrm>
                    <a:prstGeom prst="rect">
                      <a:avLst/>
                    </a:prstGeom>
                  </pic:spPr>
                </pic:pic>
              </a:graphicData>
            </a:graphic>
          </wp:inline>
        </w:drawing>
      </w:r>
    </w:p>
    <w:p w14:paraId="70EE7A16" w14:textId="28B42BE0" w:rsidR="00916212" w:rsidRPr="00A23A9D" w:rsidRDefault="00916212" w:rsidP="00A23A9D">
      <w:pPr>
        <w:spacing w:line="240" w:lineRule="auto"/>
        <w:jc w:val="center"/>
        <w:rPr>
          <w:rFonts w:ascii="Times New Roman" w:hAnsi="Times New Roman" w:cs="Times New Roman"/>
        </w:rPr>
      </w:pPr>
      <w:r w:rsidRPr="00A23A9D">
        <w:rPr>
          <w:rFonts w:ascii="Times New Roman" w:hAnsi="Times New Roman" w:cs="Times New Roman"/>
          <w:noProof/>
        </w:rPr>
        <w:drawing>
          <wp:inline distT="0" distB="0" distL="0" distR="0" wp14:anchorId="215C1046" wp14:editId="2DFACB1F">
            <wp:extent cx="3835614" cy="2200275"/>
            <wp:effectExtent l="0" t="0" r="0" b="0"/>
            <wp:docPr id="190804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48444" name="Picture 1"/>
                    <pic:cNvPicPr>
                      <a:picLocks noChangeAspect="1"/>
                    </pic:cNvPicPr>
                  </pic:nvPicPr>
                  <pic:blipFill>
                    <a:blip r:embed="rId13"/>
                    <a:stretch>
                      <a:fillRect/>
                    </a:stretch>
                  </pic:blipFill>
                  <pic:spPr>
                    <a:xfrm>
                      <a:off x="0" y="0"/>
                      <a:ext cx="3841440" cy="2203617"/>
                    </a:xfrm>
                    <a:prstGeom prst="rect">
                      <a:avLst/>
                    </a:prstGeom>
                  </pic:spPr>
                </pic:pic>
              </a:graphicData>
            </a:graphic>
          </wp:inline>
        </w:drawing>
      </w:r>
    </w:p>
    <w:p w14:paraId="1C9D75A8" w14:textId="27C6C0A3" w:rsidR="00916212" w:rsidRPr="00A23A9D" w:rsidRDefault="0089147D" w:rsidP="00A23A9D">
      <w:pPr>
        <w:spacing w:line="240" w:lineRule="auto"/>
        <w:rPr>
          <w:rFonts w:ascii="Times New Roman" w:hAnsi="Times New Roman" w:cs="Times New Roman"/>
        </w:rPr>
      </w:pPr>
      <w:r w:rsidRPr="00A23A9D">
        <w:rPr>
          <w:rFonts w:ascii="Times New Roman" w:hAnsi="Times New Roman" w:cs="Times New Roman"/>
        </w:rPr>
        <w:lastRenderedPageBreak/>
        <w:t xml:space="preserve">The most powerful </w:t>
      </w:r>
      <w:r w:rsidR="00C61770" w:rsidRPr="00A23A9D">
        <w:rPr>
          <w:rFonts w:ascii="Times New Roman" w:hAnsi="Times New Roman" w:cs="Times New Roman"/>
        </w:rPr>
        <w:t>visualization</w:t>
      </w:r>
      <w:r w:rsidRPr="00A23A9D">
        <w:rPr>
          <w:rFonts w:ascii="Times New Roman" w:hAnsi="Times New Roman" w:cs="Times New Roman"/>
        </w:rPr>
        <w:t xml:space="preserve"> was likely the time-series projection right up to 2025–2026. </w:t>
      </w:r>
      <w:r w:rsidR="00916212" w:rsidRPr="00A23A9D">
        <w:rPr>
          <w:rFonts w:ascii="Times New Roman" w:hAnsi="Times New Roman" w:cs="Times New Roman"/>
        </w:rPr>
        <w:t xml:space="preserve">Power BI forecasting capability extended trends in contribution and projected continuing growth for metropolitan schools, but none for regional schools. The increasing bands of confidence </w:t>
      </w:r>
      <w:r w:rsidR="00C61770" w:rsidRPr="00A23A9D">
        <w:rPr>
          <w:rFonts w:ascii="Times New Roman" w:hAnsi="Times New Roman" w:cs="Times New Roman"/>
        </w:rPr>
        <w:t>recognized</w:t>
      </w:r>
      <w:r w:rsidR="00916212" w:rsidRPr="00A23A9D">
        <w:rPr>
          <w:rFonts w:ascii="Times New Roman" w:hAnsi="Times New Roman" w:cs="Times New Roman"/>
        </w:rPr>
        <w:t xml:space="preserve"> uncertainty but didn't change the unambiguous message: the funding gap is going to grow.</w:t>
      </w:r>
    </w:p>
    <w:p w14:paraId="7A4E3570" w14:textId="77777777" w:rsidR="007B57D2" w:rsidRPr="00A23A9D" w:rsidRDefault="007B57D2" w:rsidP="00A23A9D">
      <w:pPr>
        <w:spacing w:line="240" w:lineRule="auto"/>
        <w:rPr>
          <w:rFonts w:ascii="Times New Roman" w:hAnsi="Times New Roman" w:cs="Times New Roman"/>
        </w:rPr>
      </w:pPr>
    </w:p>
    <w:p w14:paraId="6CE8AF81" w14:textId="0AEAFE0D" w:rsidR="00916212" w:rsidRPr="00A23A9D" w:rsidRDefault="00916212" w:rsidP="00A23A9D">
      <w:pPr>
        <w:spacing w:line="240" w:lineRule="auto"/>
        <w:jc w:val="center"/>
        <w:rPr>
          <w:rFonts w:ascii="Times New Roman" w:hAnsi="Times New Roman" w:cs="Times New Roman"/>
        </w:rPr>
      </w:pPr>
      <w:r w:rsidRPr="00A23A9D">
        <w:rPr>
          <w:rFonts w:ascii="Times New Roman" w:hAnsi="Times New Roman" w:cs="Times New Roman"/>
          <w:noProof/>
        </w:rPr>
        <w:drawing>
          <wp:inline distT="0" distB="0" distL="0" distR="0" wp14:anchorId="7420F15E" wp14:editId="1A1DC17A">
            <wp:extent cx="4524375" cy="2536744"/>
            <wp:effectExtent l="0" t="0" r="0" b="0"/>
            <wp:docPr id="23243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38219" name=""/>
                    <pic:cNvPicPr/>
                  </pic:nvPicPr>
                  <pic:blipFill>
                    <a:blip r:embed="rId14"/>
                    <a:stretch>
                      <a:fillRect/>
                    </a:stretch>
                  </pic:blipFill>
                  <pic:spPr>
                    <a:xfrm>
                      <a:off x="0" y="0"/>
                      <a:ext cx="4532401" cy="2541244"/>
                    </a:xfrm>
                    <a:prstGeom prst="rect">
                      <a:avLst/>
                    </a:prstGeom>
                  </pic:spPr>
                </pic:pic>
              </a:graphicData>
            </a:graphic>
          </wp:inline>
        </w:drawing>
      </w:r>
    </w:p>
    <w:p w14:paraId="33A6A3CD" w14:textId="3601E07E" w:rsidR="00916212"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 xml:space="preserve">The validation of these results confirms that the software and tools used were effective in revealing inequities. Power BI enabled interactive, easy-to-read dashboards interpretable by teachers, policymakers, and stakeholders who might not be technically advanced. Despite the use of self-reported data still being a limitation, consistency through multiple </w:t>
      </w:r>
      <w:r w:rsidR="00C61770" w:rsidRPr="00A23A9D">
        <w:rPr>
          <w:rFonts w:ascii="Times New Roman" w:hAnsi="Times New Roman" w:cs="Times New Roman"/>
        </w:rPr>
        <w:t>visualizations</w:t>
      </w:r>
      <w:r w:rsidRPr="00A23A9D">
        <w:rPr>
          <w:rFonts w:ascii="Times New Roman" w:hAnsi="Times New Roman" w:cs="Times New Roman"/>
        </w:rPr>
        <w:t xml:space="preserve"> boosts confidence in the outcome and how it relates to education equity.</w:t>
      </w:r>
    </w:p>
    <w:p w14:paraId="693210C8" w14:textId="77777777"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Descriptive Analytics</w:t>
      </w:r>
    </w:p>
    <w:p w14:paraId="5B315C04" w14:textId="14B94E0C" w:rsidR="00C61770"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 xml:space="preserve">Descriptive statistics were first applied to </w:t>
      </w:r>
      <w:r w:rsidR="00C61770" w:rsidRPr="00A23A9D">
        <w:rPr>
          <w:rFonts w:ascii="Times New Roman" w:hAnsi="Times New Roman" w:cs="Times New Roman"/>
        </w:rPr>
        <w:t>summaries</w:t>
      </w:r>
      <w:r w:rsidRPr="00A23A9D">
        <w:rPr>
          <w:rFonts w:ascii="Times New Roman" w:hAnsi="Times New Roman" w:cs="Times New Roman"/>
        </w:rPr>
        <w:t xml:space="preserve"> central tendencies and distributions across the dataset. Key measures included average contributions by region, median values to account for skew, and standard deviation to capture variability. These metrics provided baseline insights into the disparity between metropolitan and regional schools.</w:t>
      </w:r>
    </w:p>
    <w:p w14:paraId="58E0AFC8" w14:textId="77777777"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Regression Modelling</w:t>
      </w:r>
    </w:p>
    <w:p w14:paraId="3EC47814" w14:textId="77777777"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A multiple linear regression model was developed to quantify the influence of school characteristics on voluntary contributions. The dependent variable was annual contribution amount, while independent variables included:</w:t>
      </w:r>
    </w:p>
    <w:p w14:paraId="123F6ABD" w14:textId="71DD400C" w:rsidR="00A338A8" w:rsidRPr="00A23A9D" w:rsidRDefault="00A338A8" w:rsidP="00A23A9D">
      <w:pPr>
        <w:pStyle w:val="ListParagraph"/>
        <w:numPr>
          <w:ilvl w:val="0"/>
          <w:numId w:val="3"/>
        </w:numPr>
        <w:spacing w:line="240" w:lineRule="auto"/>
        <w:rPr>
          <w:rFonts w:ascii="Times New Roman" w:hAnsi="Times New Roman" w:cs="Times New Roman"/>
        </w:rPr>
      </w:pPr>
      <w:r w:rsidRPr="00A23A9D">
        <w:rPr>
          <w:rFonts w:ascii="Times New Roman" w:hAnsi="Times New Roman" w:cs="Times New Roman"/>
        </w:rPr>
        <w:t xml:space="preserve">Location: Metropolitan vs </w:t>
      </w:r>
      <w:r w:rsidR="00C61770" w:rsidRPr="00A23A9D">
        <w:rPr>
          <w:rFonts w:ascii="Times New Roman" w:hAnsi="Times New Roman" w:cs="Times New Roman"/>
        </w:rPr>
        <w:t>regional</w:t>
      </w:r>
      <w:r w:rsidRPr="00A23A9D">
        <w:rPr>
          <w:rFonts w:ascii="Times New Roman" w:hAnsi="Times New Roman" w:cs="Times New Roman"/>
        </w:rPr>
        <w:t xml:space="preserve"> classification (categorical variable).</w:t>
      </w:r>
    </w:p>
    <w:p w14:paraId="25EE957A" w14:textId="77777777" w:rsidR="00A338A8" w:rsidRPr="00A23A9D" w:rsidRDefault="00A338A8" w:rsidP="00A23A9D">
      <w:pPr>
        <w:pStyle w:val="ListParagraph"/>
        <w:numPr>
          <w:ilvl w:val="0"/>
          <w:numId w:val="3"/>
        </w:numPr>
        <w:spacing w:line="240" w:lineRule="auto"/>
        <w:rPr>
          <w:rFonts w:ascii="Times New Roman" w:hAnsi="Times New Roman" w:cs="Times New Roman"/>
        </w:rPr>
      </w:pPr>
      <w:r w:rsidRPr="00A23A9D">
        <w:rPr>
          <w:rFonts w:ascii="Times New Roman" w:hAnsi="Times New Roman" w:cs="Times New Roman"/>
        </w:rPr>
        <w:t>School Size Proxy: Approximated using total contributions as a proxy for enrolments.</w:t>
      </w:r>
    </w:p>
    <w:p w14:paraId="4CE9215E" w14:textId="1C9D11B5" w:rsidR="00A338A8" w:rsidRPr="00A23A9D" w:rsidRDefault="00A338A8" w:rsidP="00A23A9D">
      <w:pPr>
        <w:pStyle w:val="ListParagraph"/>
        <w:numPr>
          <w:ilvl w:val="0"/>
          <w:numId w:val="3"/>
        </w:numPr>
        <w:spacing w:line="240" w:lineRule="auto"/>
        <w:rPr>
          <w:rFonts w:ascii="Times New Roman" w:hAnsi="Times New Roman" w:cs="Times New Roman"/>
        </w:rPr>
      </w:pPr>
      <w:r w:rsidRPr="00A23A9D">
        <w:rPr>
          <w:rFonts w:ascii="Times New Roman" w:hAnsi="Times New Roman" w:cs="Times New Roman"/>
        </w:rPr>
        <w:t xml:space="preserve">Locality: East, West, North, South regional </w:t>
      </w:r>
      <w:r w:rsidR="00C61770" w:rsidRPr="00A23A9D">
        <w:rPr>
          <w:rFonts w:ascii="Times New Roman" w:hAnsi="Times New Roman" w:cs="Times New Roman"/>
        </w:rPr>
        <w:t>categorization</w:t>
      </w:r>
      <w:r w:rsidRPr="00A23A9D">
        <w:rPr>
          <w:rFonts w:ascii="Times New Roman" w:hAnsi="Times New Roman" w:cs="Times New Roman"/>
        </w:rPr>
        <w:t>.</w:t>
      </w:r>
    </w:p>
    <w:p w14:paraId="26B1E7E5" w14:textId="77777777"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The regression analysis achieved a strong explanatory power (R² &gt; 0.9), confirming that metropolitan classification and larger enrolments were significant predictors of higher contributions.</w:t>
      </w:r>
    </w:p>
    <w:p w14:paraId="121A0061" w14:textId="77777777"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lastRenderedPageBreak/>
        <w:t>Forecasting</w:t>
      </w:r>
    </w:p>
    <w:p w14:paraId="6CBB517D" w14:textId="50BD1848" w:rsidR="00A338A8" w:rsidRPr="00A23A9D" w:rsidRDefault="00A338A8" w:rsidP="00A23A9D">
      <w:pPr>
        <w:spacing w:line="240" w:lineRule="auto"/>
        <w:rPr>
          <w:rFonts w:ascii="Times New Roman" w:hAnsi="Times New Roman" w:cs="Times New Roman"/>
        </w:rPr>
      </w:pPr>
      <w:r w:rsidRPr="00A23A9D">
        <w:rPr>
          <w:rFonts w:ascii="Times New Roman" w:hAnsi="Times New Roman" w:cs="Times New Roman"/>
        </w:rPr>
        <w:t>To project contributions beyond 2024, Power BI’s built-in forecasting feature was applied to the time series of contributions. Forecasts were generated for 2025 and 2026 with a 95% confidence interval and one-year seasonality parameter. This method extended observed trends and showed that, without intervention, the metro–regional gap would continue to widen.</w:t>
      </w:r>
    </w:p>
    <w:p w14:paraId="7DFB43B8" w14:textId="087269C4" w:rsidR="00C61770" w:rsidRPr="00A23A9D" w:rsidRDefault="00C61770" w:rsidP="00A23A9D">
      <w:pPr>
        <w:spacing w:line="240" w:lineRule="auto"/>
        <w:rPr>
          <w:rFonts w:ascii="Times New Roman" w:hAnsi="Times New Roman" w:cs="Times New Roman"/>
        </w:rPr>
      </w:pPr>
      <w:r w:rsidRPr="00A23A9D">
        <w:rPr>
          <w:rFonts w:ascii="Times New Roman" w:hAnsi="Times New Roman" w:cs="Times New Roman"/>
          <w:noProof/>
        </w:rPr>
        <w:drawing>
          <wp:inline distT="0" distB="0" distL="0" distR="0" wp14:anchorId="7E3938DB" wp14:editId="3EB7454D">
            <wp:extent cx="3917041" cy="1863524"/>
            <wp:effectExtent l="0" t="0" r="0" b="3810"/>
            <wp:docPr id="65275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50589" name="Picture 65275058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85976" cy="1896320"/>
                    </a:xfrm>
                    <a:prstGeom prst="rect">
                      <a:avLst/>
                    </a:prstGeom>
                  </pic:spPr>
                </pic:pic>
              </a:graphicData>
            </a:graphic>
          </wp:inline>
        </w:drawing>
      </w:r>
    </w:p>
    <w:p w14:paraId="276C6BC8" w14:textId="781FC31E" w:rsidR="00C61770" w:rsidRPr="00A23A9D" w:rsidRDefault="00C61770" w:rsidP="00A23A9D">
      <w:pPr>
        <w:spacing w:line="240" w:lineRule="auto"/>
        <w:rPr>
          <w:rFonts w:ascii="Times New Roman" w:hAnsi="Times New Roman" w:cs="Times New Roman"/>
        </w:rPr>
      </w:pPr>
      <w:r w:rsidRPr="00A23A9D">
        <w:rPr>
          <w:rFonts w:ascii="Times New Roman" w:hAnsi="Times New Roman" w:cs="Times New Roman"/>
        </w:rPr>
        <w:t>I have also used ‘Orange’ software for finding some predictions in which we can see that the random Forest shows high values, and we can also see that the suburb voice percentage of prediction to get the funds values are also going up.</w:t>
      </w:r>
    </w:p>
    <w:p w14:paraId="5CB51119" w14:textId="45D7AC56" w:rsidR="00C61770" w:rsidRPr="00A23A9D" w:rsidRDefault="00C61770" w:rsidP="00A23A9D">
      <w:pPr>
        <w:spacing w:line="240" w:lineRule="auto"/>
        <w:rPr>
          <w:rFonts w:ascii="Times New Roman" w:hAnsi="Times New Roman" w:cs="Times New Roman"/>
        </w:rPr>
      </w:pPr>
      <w:r w:rsidRPr="00A23A9D">
        <w:rPr>
          <w:rFonts w:ascii="Times New Roman" w:hAnsi="Times New Roman" w:cs="Times New Roman"/>
        </w:rPr>
        <w:t xml:space="preserve"> </w:t>
      </w:r>
      <w:r w:rsidRPr="00A23A9D">
        <w:rPr>
          <w:rFonts w:ascii="Times New Roman" w:hAnsi="Times New Roman" w:cs="Times New Roman"/>
          <w:noProof/>
        </w:rPr>
        <w:drawing>
          <wp:inline distT="0" distB="0" distL="0" distR="0" wp14:anchorId="600CDADA" wp14:editId="3A468709">
            <wp:extent cx="3889094" cy="2176397"/>
            <wp:effectExtent l="0" t="0" r="0" b="0"/>
            <wp:docPr id="31721768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17686" name="Picture 2"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9840" cy="2193603"/>
                    </a:xfrm>
                    <a:prstGeom prst="rect">
                      <a:avLst/>
                    </a:prstGeom>
                  </pic:spPr>
                </pic:pic>
              </a:graphicData>
            </a:graphic>
          </wp:inline>
        </w:drawing>
      </w:r>
    </w:p>
    <w:p w14:paraId="4894C78E" w14:textId="77777777" w:rsidR="00C61770" w:rsidRPr="00A23A9D" w:rsidRDefault="00C61770" w:rsidP="00A23A9D">
      <w:pPr>
        <w:spacing w:line="240" w:lineRule="auto"/>
        <w:rPr>
          <w:rFonts w:ascii="Times New Roman" w:hAnsi="Times New Roman" w:cs="Times New Roman"/>
        </w:rPr>
      </w:pPr>
    </w:p>
    <w:p w14:paraId="56970713" w14:textId="77777777" w:rsidR="00C61770" w:rsidRPr="00A23A9D" w:rsidRDefault="00C61770" w:rsidP="00A23A9D">
      <w:pPr>
        <w:spacing w:line="240" w:lineRule="auto"/>
        <w:rPr>
          <w:rFonts w:ascii="Times New Roman" w:hAnsi="Times New Roman" w:cs="Times New Roman"/>
        </w:rPr>
      </w:pPr>
    </w:p>
    <w:p w14:paraId="1F5D8EF3" w14:textId="77777777" w:rsidR="00C61770" w:rsidRPr="00A23A9D" w:rsidRDefault="00C61770" w:rsidP="00A23A9D">
      <w:pPr>
        <w:spacing w:line="240" w:lineRule="auto"/>
        <w:rPr>
          <w:rFonts w:ascii="Times New Roman" w:hAnsi="Times New Roman" w:cs="Times New Roman"/>
        </w:rPr>
      </w:pPr>
    </w:p>
    <w:p w14:paraId="7A80E5B3" w14:textId="77777777" w:rsidR="00C61770" w:rsidRPr="00A23A9D" w:rsidRDefault="00C61770" w:rsidP="00A23A9D">
      <w:pPr>
        <w:spacing w:line="240" w:lineRule="auto"/>
        <w:rPr>
          <w:rFonts w:ascii="Times New Roman" w:hAnsi="Times New Roman" w:cs="Times New Roman"/>
        </w:rPr>
      </w:pPr>
    </w:p>
    <w:p w14:paraId="2B3B033E" w14:textId="77777777" w:rsidR="00C61770" w:rsidRPr="00A23A9D" w:rsidRDefault="00C61770" w:rsidP="00A23A9D">
      <w:pPr>
        <w:spacing w:line="240" w:lineRule="auto"/>
        <w:rPr>
          <w:rFonts w:ascii="Times New Roman" w:hAnsi="Times New Roman" w:cs="Times New Roman"/>
        </w:rPr>
      </w:pPr>
    </w:p>
    <w:p w14:paraId="6E8567DD" w14:textId="77777777" w:rsidR="00C61770" w:rsidRPr="00A23A9D" w:rsidRDefault="00C61770" w:rsidP="00A23A9D">
      <w:pPr>
        <w:spacing w:line="240" w:lineRule="auto"/>
        <w:rPr>
          <w:rFonts w:ascii="Times New Roman" w:hAnsi="Times New Roman" w:cs="Times New Roman"/>
        </w:rPr>
      </w:pPr>
    </w:p>
    <w:p w14:paraId="1C78CDF7" w14:textId="77777777" w:rsidR="00C61770" w:rsidRPr="00A23A9D" w:rsidRDefault="00C61770" w:rsidP="00A23A9D">
      <w:pPr>
        <w:spacing w:line="240" w:lineRule="auto"/>
        <w:rPr>
          <w:rFonts w:ascii="Times New Roman" w:hAnsi="Times New Roman" w:cs="Times New Roman"/>
        </w:rPr>
      </w:pPr>
    </w:p>
    <w:p w14:paraId="13DB62F8" w14:textId="3A55C0AF" w:rsidR="00916212" w:rsidRPr="00A23A9D" w:rsidRDefault="00916212" w:rsidP="00A23A9D">
      <w:pPr>
        <w:pStyle w:val="Heading2"/>
        <w:spacing w:line="240" w:lineRule="auto"/>
        <w:rPr>
          <w:rFonts w:ascii="Times New Roman" w:hAnsi="Times New Roman" w:cs="Times New Roman"/>
          <w:sz w:val="24"/>
          <w:szCs w:val="24"/>
        </w:rPr>
      </w:pPr>
      <w:bookmarkStart w:id="5" w:name="_Toc209726787"/>
      <w:r w:rsidRPr="00A23A9D">
        <w:rPr>
          <w:rFonts w:ascii="Times New Roman" w:hAnsi="Times New Roman" w:cs="Times New Roman"/>
          <w:sz w:val="24"/>
          <w:szCs w:val="24"/>
        </w:rPr>
        <w:lastRenderedPageBreak/>
        <w:t>Recommendations</w:t>
      </w:r>
      <w:bookmarkEnd w:id="5"/>
    </w:p>
    <w:p w14:paraId="0E631C54" w14:textId="58A2AE2E" w:rsidR="00916212"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The study refers to a persistent and widening metropolitan-to-regional Victorian school funding differential. To address the inequality, the following recommendations are made.</w:t>
      </w:r>
    </w:p>
    <w:p w14:paraId="10703A8B" w14:textId="21E3B34B" w:rsidR="00916212"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Second, specific funding interventions need to be instituted for regional schools. Government policy may offer additional grants to North and West regional schools with fewer voluntary contributions. These grants need to target essential resources such as classroom technology, extra-curricular activities, and specialist teachers so that rural community students are not disadvantaged by the limitation of community fundraising capacity.</w:t>
      </w:r>
    </w:p>
    <w:p w14:paraId="796256BD" w14:textId="1538B824" w:rsidR="00916212"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Secondly, equity-based funding arrangements could be revised to account for variations in voluntary parental contributions. Current funding systems do not account properly for the advantage that accrues to metropolitan suburbs containing high-ICSEA schools. By accounting for contribution variations in funding arrangements, funds could be reallocated more evenly and reduce the inequity identified in this project.</w:t>
      </w:r>
    </w:p>
    <w:p w14:paraId="2B24B613" w14:textId="03F009F7" w:rsidR="00916212" w:rsidRPr="00A23A9D" w:rsidRDefault="00916212" w:rsidP="00A23A9D">
      <w:pPr>
        <w:spacing w:line="240" w:lineRule="auto"/>
        <w:rPr>
          <w:rFonts w:ascii="Times New Roman" w:hAnsi="Times New Roman" w:cs="Times New Roman"/>
        </w:rPr>
      </w:pPr>
      <w:r w:rsidRPr="00A23A9D">
        <w:rPr>
          <w:rFonts w:ascii="Times New Roman" w:hAnsi="Times New Roman" w:cs="Times New Roman"/>
        </w:rPr>
        <w:t xml:space="preserve">Third, partnerships between the corporate and community worlds and underfunded or poorer-resourced schools need to be established. While metro schools enjoy access to more prosperous parental bases, regional schools may be helped through cooperation with regional industry, councils, and non-profit </w:t>
      </w:r>
      <w:r w:rsidR="00C61770" w:rsidRPr="00A23A9D">
        <w:rPr>
          <w:rFonts w:ascii="Times New Roman" w:hAnsi="Times New Roman" w:cs="Times New Roman"/>
        </w:rPr>
        <w:t>organizations</w:t>
      </w:r>
      <w:r w:rsidRPr="00A23A9D">
        <w:rPr>
          <w:rFonts w:ascii="Times New Roman" w:hAnsi="Times New Roman" w:cs="Times New Roman"/>
        </w:rPr>
        <w:t xml:space="preserve">. These types of arrangements may not eliminate </w:t>
      </w:r>
      <w:r w:rsidR="00C61770" w:rsidRPr="00A23A9D">
        <w:rPr>
          <w:rFonts w:ascii="Times New Roman" w:hAnsi="Times New Roman" w:cs="Times New Roman"/>
        </w:rPr>
        <w:t>differences but</w:t>
      </w:r>
      <w:r w:rsidRPr="00A23A9D">
        <w:rPr>
          <w:rFonts w:ascii="Times New Roman" w:hAnsi="Times New Roman" w:cs="Times New Roman"/>
        </w:rPr>
        <w:t xml:space="preserve"> can provide vital additional assistance.</w:t>
      </w:r>
    </w:p>
    <w:p w14:paraId="5ADDC7EE" w14:textId="615C1B15" w:rsidR="0089147D" w:rsidRPr="00A23A9D" w:rsidRDefault="0089147D" w:rsidP="00A23A9D">
      <w:pPr>
        <w:spacing w:line="240" w:lineRule="auto"/>
        <w:rPr>
          <w:rFonts w:ascii="Times New Roman" w:hAnsi="Times New Roman" w:cs="Times New Roman"/>
        </w:rPr>
      </w:pPr>
      <w:r w:rsidRPr="00A23A9D">
        <w:rPr>
          <w:rFonts w:ascii="Times New Roman" w:hAnsi="Times New Roman" w:cs="Times New Roman"/>
        </w:rPr>
        <w:t xml:space="preserve">Analytically, regular monitoring via dashboards must be done. Power BI </w:t>
      </w:r>
      <w:r w:rsidR="00C61770" w:rsidRPr="00A23A9D">
        <w:rPr>
          <w:rFonts w:ascii="Times New Roman" w:hAnsi="Times New Roman" w:cs="Times New Roman"/>
        </w:rPr>
        <w:t>visualizations</w:t>
      </w:r>
      <w:r w:rsidRPr="00A23A9D">
        <w:rPr>
          <w:rFonts w:ascii="Times New Roman" w:hAnsi="Times New Roman" w:cs="Times New Roman"/>
        </w:rPr>
        <w:t xml:space="preserve"> in this project showed just how easy interactive tools can render inequities visible and actionable. Those who are responsible for education need to take up similar tools to monitor year-on-year trends and hold people to account for gaps being closed.</w:t>
      </w:r>
    </w:p>
    <w:p w14:paraId="71C780BA" w14:textId="08891756" w:rsidR="0032157E" w:rsidRPr="00A23A9D" w:rsidRDefault="0032157E" w:rsidP="00A23A9D">
      <w:pPr>
        <w:spacing w:line="240" w:lineRule="auto"/>
        <w:rPr>
          <w:rFonts w:ascii="Times New Roman" w:hAnsi="Times New Roman" w:cs="Times New Roman"/>
        </w:rPr>
      </w:pPr>
      <w:r w:rsidRPr="00A23A9D">
        <w:rPr>
          <w:rFonts w:ascii="Times New Roman" w:hAnsi="Times New Roman" w:cs="Times New Roman"/>
        </w:rPr>
        <w:t>One also needs to keep in mind the limits of the dataset: the figures are self-reported, end in 2022-2024, and can obviously not capture purely exogenous shocks such as inflation or policy change. Future research could help to increase the size of the dataset, include enrolment data, or employ more sophisticated machine learning techniques to better predict contributions.</w:t>
      </w:r>
    </w:p>
    <w:p w14:paraId="3B2D83E5" w14:textId="66871D93" w:rsidR="0078315B" w:rsidRPr="00A23A9D" w:rsidRDefault="0078315B" w:rsidP="00A23A9D">
      <w:pPr>
        <w:spacing w:line="240" w:lineRule="auto"/>
        <w:rPr>
          <w:rFonts w:ascii="Times New Roman" w:hAnsi="Times New Roman" w:cs="Times New Roman"/>
        </w:rPr>
      </w:pPr>
      <w:r w:rsidRPr="00A23A9D">
        <w:rPr>
          <w:rFonts w:ascii="Times New Roman" w:hAnsi="Times New Roman" w:cs="Times New Roman"/>
        </w:rPr>
        <w:t xml:space="preserve">Regarding dashboards, they should be </w:t>
      </w:r>
      <w:r w:rsidR="00C61770" w:rsidRPr="00A23A9D">
        <w:rPr>
          <w:rFonts w:ascii="Times New Roman" w:hAnsi="Times New Roman" w:cs="Times New Roman"/>
        </w:rPr>
        <w:t>utilized</w:t>
      </w:r>
      <w:r w:rsidRPr="00A23A9D">
        <w:rPr>
          <w:rFonts w:ascii="Times New Roman" w:hAnsi="Times New Roman" w:cs="Times New Roman"/>
        </w:rPr>
        <w:t xml:space="preserve"> for ongoing monitoring. The visualizations developed from this project using Power BI were helpful in illustrating how differences can be seen and acted upon with relatively simple interactive tools. Educational leaders need to use similar tools to monitor annual trends and hold people accountable for closing the gaps.</w:t>
      </w:r>
    </w:p>
    <w:p w14:paraId="3CBD0D4F" w14:textId="5C29CE04" w:rsidR="0078315B" w:rsidRPr="00A23A9D" w:rsidRDefault="0078315B" w:rsidP="00A23A9D">
      <w:pPr>
        <w:spacing w:line="240" w:lineRule="auto"/>
        <w:rPr>
          <w:rFonts w:ascii="Times New Roman" w:hAnsi="Times New Roman" w:cs="Times New Roman"/>
        </w:rPr>
      </w:pPr>
      <w:r w:rsidRPr="00A23A9D">
        <w:rPr>
          <w:rFonts w:ascii="Times New Roman" w:hAnsi="Times New Roman" w:cs="Times New Roman"/>
        </w:rPr>
        <w:t>Also, the dataset suffers from certain limitations: the numbers are self-reported, have an expiration date of 2022-2024 and clearly cannot capture purely exogenous shocks such as inflation and policy changes. Some potential improvements for future research are to expand the dataset, add enrolment data, or use more sophisticated machine learning methods to make better predictions of contributions.</w:t>
      </w:r>
    </w:p>
    <w:p w14:paraId="4DF9C014" w14:textId="77777777" w:rsidR="00C61770" w:rsidRPr="00A23A9D" w:rsidRDefault="00C61770" w:rsidP="00A23A9D">
      <w:pPr>
        <w:spacing w:line="240" w:lineRule="auto"/>
        <w:rPr>
          <w:rFonts w:ascii="Times New Roman" w:hAnsi="Times New Roman" w:cs="Times New Roman"/>
        </w:rPr>
      </w:pPr>
    </w:p>
    <w:p w14:paraId="3E316C1F" w14:textId="77777777" w:rsidR="00C61770" w:rsidRPr="00A23A9D" w:rsidRDefault="00C61770" w:rsidP="00A23A9D">
      <w:pPr>
        <w:spacing w:line="240" w:lineRule="auto"/>
        <w:rPr>
          <w:rFonts w:ascii="Times New Roman" w:hAnsi="Times New Roman" w:cs="Times New Roman"/>
        </w:rPr>
      </w:pPr>
    </w:p>
    <w:p w14:paraId="3638FE02" w14:textId="77777777" w:rsidR="00C61770" w:rsidRPr="00A23A9D" w:rsidRDefault="00C61770" w:rsidP="00A23A9D">
      <w:pPr>
        <w:spacing w:line="240" w:lineRule="auto"/>
        <w:rPr>
          <w:rFonts w:ascii="Times New Roman" w:hAnsi="Times New Roman" w:cs="Times New Roman"/>
        </w:rPr>
      </w:pPr>
    </w:p>
    <w:p w14:paraId="388A370A" w14:textId="081C3229" w:rsidR="00916212" w:rsidRPr="00A23A9D" w:rsidRDefault="00916212" w:rsidP="00A23A9D">
      <w:pPr>
        <w:pStyle w:val="Heading2"/>
        <w:spacing w:line="240" w:lineRule="auto"/>
        <w:rPr>
          <w:rFonts w:ascii="Times New Roman" w:hAnsi="Times New Roman" w:cs="Times New Roman"/>
          <w:sz w:val="24"/>
          <w:szCs w:val="24"/>
        </w:rPr>
      </w:pPr>
      <w:bookmarkStart w:id="6" w:name="_Toc209726788"/>
      <w:r w:rsidRPr="00A23A9D">
        <w:rPr>
          <w:rFonts w:ascii="Times New Roman" w:hAnsi="Times New Roman" w:cs="Times New Roman"/>
          <w:sz w:val="24"/>
          <w:szCs w:val="24"/>
        </w:rPr>
        <w:lastRenderedPageBreak/>
        <w:t>Data Ethics and Security</w:t>
      </w:r>
      <w:bookmarkEnd w:id="6"/>
    </w:p>
    <w:p w14:paraId="2E5E3160" w14:textId="77777777" w:rsidR="00A338A8" w:rsidRPr="00A23A9D" w:rsidRDefault="00A338A8" w:rsidP="00A23A9D">
      <w:pPr>
        <w:spacing w:line="240" w:lineRule="auto"/>
        <w:rPr>
          <w:rFonts w:ascii="Times New Roman" w:hAnsi="Times New Roman" w:cs="Times New Roman"/>
          <w:color w:val="000000"/>
        </w:rPr>
      </w:pPr>
      <w:r w:rsidRPr="00A23A9D">
        <w:rPr>
          <w:rFonts w:ascii="Times New Roman" w:hAnsi="Times New Roman" w:cs="Times New Roman"/>
          <w:color w:val="000000"/>
        </w:rPr>
        <w:t xml:space="preserve">The project used school-level fiscal data, requiring careful consideration of privacy, accuracy, and transparency. The ethical responsibility was to report results in aggregated and comparative terms, protecting the identity and integrity of schools when addressing sensitive issues like funding inequities. </w:t>
      </w:r>
    </w:p>
    <w:p w14:paraId="7C538E79" w14:textId="77777777" w:rsidR="00A338A8" w:rsidRPr="00A23A9D" w:rsidRDefault="00A338A8" w:rsidP="00A23A9D">
      <w:pPr>
        <w:spacing w:line="240" w:lineRule="auto"/>
        <w:rPr>
          <w:rFonts w:ascii="Times New Roman" w:hAnsi="Times New Roman" w:cs="Times New Roman"/>
          <w:color w:val="000000"/>
        </w:rPr>
      </w:pPr>
      <w:r w:rsidRPr="00A23A9D">
        <w:rPr>
          <w:rFonts w:ascii="Times New Roman" w:hAnsi="Times New Roman" w:cs="Times New Roman"/>
          <w:color w:val="000000"/>
        </w:rPr>
        <w:t xml:space="preserve">Transparency and honesty of visualizations were prioritized in analysis, with predictions and charts constructed truthfully without exaggerating differences. Confidentiality risks were minimal, but the application of educational financial data must adhere to ethical standards. </w:t>
      </w:r>
    </w:p>
    <w:p w14:paraId="7BBAE4B1" w14:textId="4A88C114" w:rsidR="00C61770" w:rsidRPr="00A23A9D" w:rsidRDefault="00A338A8" w:rsidP="00A23A9D">
      <w:pPr>
        <w:spacing w:line="240" w:lineRule="auto"/>
        <w:rPr>
          <w:rFonts w:ascii="Times New Roman" w:hAnsi="Times New Roman" w:cs="Times New Roman"/>
          <w:color w:val="000000"/>
        </w:rPr>
      </w:pPr>
      <w:r w:rsidRPr="00A23A9D">
        <w:rPr>
          <w:rFonts w:ascii="Times New Roman" w:hAnsi="Times New Roman" w:cs="Times New Roman"/>
          <w:color w:val="000000"/>
        </w:rPr>
        <w:t>For future research, ethical frameworks must include clear standards for fairness, accountability, and responsible use, secure storage protocols, and strict governance policies for sensitive datasets. Future research should address secure storage protocols and strict governance policies for sensitive datasets.</w:t>
      </w:r>
    </w:p>
    <w:p w14:paraId="4660AA69" w14:textId="77777777" w:rsidR="00C61770" w:rsidRPr="00A23A9D" w:rsidRDefault="00C61770" w:rsidP="00A23A9D">
      <w:pPr>
        <w:spacing w:line="240" w:lineRule="auto"/>
        <w:rPr>
          <w:rFonts w:ascii="Times New Roman" w:hAnsi="Times New Roman" w:cs="Times New Roman"/>
          <w:color w:val="000000"/>
        </w:rPr>
      </w:pPr>
    </w:p>
    <w:p w14:paraId="13B66B23" w14:textId="77777777" w:rsidR="00C61770" w:rsidRPr="00F36958" w:rsidRDefault="00C61770" w:rsidP="00A23A9D">
      <w:pPr>
        <w:pStyle w:val="Heading2"/>
        <w:spacing w:line="240" w:lineRule="auto"/>
        <w:rPr>
          <w:rFonts w:ascii="Times New Roman" w:hAnsi="Times New Roman" w:cs="Times New Roman"/>
          <w:color w:val="000000" w:themeColor="text1"/>
          <w:sz w:val="24"/>
          <w:szCs w:val="24"/>
        </w:rPr>
      </w:pPr>
      <w:bookmarkStart w:id="7" w:name="_Toc209726789"/>
      <w:r w:rsidRPr="00F36958">
        <w:rPr>
          <w:rFonts w:ascii="Times New Roman" w:hAnsi="Times New Roman" w:cs="Times New Roman"/>
          <w:color w:val="000000" w:themeColor="text1"/>
          <w:sz w:val="24"/>
          <w:szCs w:val="24"/>
        </w:rPr>
        <w:t>Reference</w:t>
      </w:r>
      <w:bookmarkEnd w:id="7"/>
    </w:p>
    <w:p w14:paraId="5838CC65" w14:textId="77777777" w:rsidR="00C61770" w:rsidRPr="00F36958" w:rsidRDefault="00C61770" w:rsidP="00A23A9D">
      <w:pPr>
        <w:pStyle w:val="ListParagraph"/>
        <w:widowControl w:val="0"/>
        <w:numPr>
          <w:ilvl w:val="0"/>
          <w:numId w:val="7"/>
        </w:numPr>
        <w:autoSpaceDE w:val="0"/>
        <w:autoSpaceDN w:val="0"/>
        <w:adjustRightInd w:val="0"/>
        <w:spacing w:line="240" w:lineRule="auto"/>
        <w:rPr>
          <w:rFonts w:ascii="Times New Roman" w:hAnsi="Times New Roman" w:cs="Times New Roman"/>
          <w:noProof/>
          <w:color w:val="000000" w:themeColor="text1"/>
        </w:rPr>
      </w:pPr>
      <w:r w:rsidRPr="00F36958">
        <w:rPr>
          <w:rFonts w:ascii="Times New Roman" w:hAnsi="Times New Roman" w:cs="Times New Roman"/>
          <w:color w:val="000000" w:themeColor="text1"/>
        </w:rPr>
        <w:fldChar w:fldCharType="begin" w:fldLock="1"/>
      </w:r>
      <w:r w:rsidRPr="00F36958">
        <w:rPr>
          <w:rFonts w:ascii="Times New Roman" w:hAnsi="Times New Roman" w:cs="Times New Roman"/>
          <w:color w:val="000000" w:themeColor="text1"/>
        </w:rPr>
        <w:instrText xml:space="preserve">ADDIN Mendeley Bibliography CSL_BIBLIOGRAPHY </w:instrText>
      </w:r>
      <w:r w:rsidRPr="00F36958">
        <w:rPr>
          <w:rFonts w:ascii="Times New Roman" w:hAnsi="Times New Roman" w:cs="Times New Roman"/>
          <w:color w:val="000000" w:themeColor="text1"/>
        </w:rPr>
        <w:fldChar w:fldCharType="separate"/>
      </w:r>
      <w:r w:rsidRPr="00F36958">
        <w:rPr>
          <w:rFonts w:ascii="Times New Roman" w:hAnsi="Times New Roman" w:cs="Times New Roman"/>
          <w:noProof/>
          <w:color w:val="000000" w:themeColor="text1"/>
        </w:rPr>
        <w:t xml:space="preserve">Bergamaschi, A., Giambruno, C., Morales, P., Forkosh-Baruch, A., Hanuka, S., &amp; Hershkovitz, A. (2025). Empowering Schools with Data: How Can We Achieve Effective Use of Educational Dashboards for Teachers and Principals? </w:t>
      </w:r>
      <w:hyperlink r:id="rId17" w:history="1">
        <w:r w:rsidRPr="00F36958">
          <w:rPr>
            <w:rStyle w:val="Hyperlink"/>
            <w:rFonts w:ascii="Times New Roman" w:hAnsi="Times New Roman" w:cs="Times New Roman"/>
            <w:noProof/>
            <w:color w:val="000000" w:themeColor="text1"/>
          </w:rPr>
          <w:t>https://doi.org/10.18235/0013561</w:t>
        </w:r>
      </w:hyperlink>
    </w:p>
    <w:p w14:paraId="16061EC1" w14:textId="77777777" w:rsidR="00C61770" w:rsidRPr="00F36958" w:rsidRDefault="00C61770" w:rsidP="00A23A9D">
      <w:pPr>
        <w:pStyle w:val="ListParagraph"/>
        <w:widowControl w:val="0"/>
        <w:numPr>
          <w:ilvl w:val="0"/>
          <w:numId w:val="7"/>
        </w:numPr>
        <w:autoSpaceDE w:val="0"/>
        <w:autoSpaceDN w:val="0"/>
        <w:adjustRightInd w:val="0"/>
        <w:spacing w:line="240" w:lineRule="auto"/>
        <w:rPr>
          <w:rFonts w:ascii="Times New Roman" w:hAnsi="Times New Roman" w:cs="Times New Roman"/>
          <w:noProof/>
          <w:color w:val="000000" w:themeColor="text1"/>
        </w:rPr>
      </w:pPr>
      <w:r w:rsidRPr="00F36958">
        <w:rPr>
          <w:rFonts w:ascii="Times New Roman" w:hAnsi="Times New Roman" w:cs="Times New Roman"/>
          <w:noProof/>
          <w:color w:val="000000" w:themeColor="text1"/>
        </w:rPr>
        <w:t>Marshall, R., Pardo, A., Smith, D., &amp; Watson, T. (2022). Implementing next generation privacy and ethics research in education technology. British Journal of Educational Technology, 53(4), 737–755.</w:t>
      </w:r>
      <w:hyperlink r:id="rId18" w:history="1">
        <w:r w:rsidRPr="00F36958">
          <w:rPr>
            <w:rStyle w:val="Hyperlink"/>
            <w:rFonts w:ascii="Times New Roman" w:hAnsi="Times New Roman" w:cs="Times New Roman"/>
            <w:noProof/>
            <w:color w:val="000000" w:themeColor="text1"/>
          </w:rPr>
          <w:t xml:space="preserve"> https://doi.org/10.1111/bjet.13224</w:t>
        </w:r>
      </w:hyperlink>
    </w:p>
    <w:p w14:paraId="03D68059" w14:textId="77777777" w:rsidR="00C61770" w:rsidRPr="00F36958" w:rsidRDefault="00C61770" w:rsidP="00A23A9D">
      <w:pPr>
        <w:pStyle w:val="ListParagraph"/>
        <w:widowControl w:val="0"/>
        <w:numPr>
          <w:ilvl w:val="0"/>
          <w:numId w:val="7"/>
        </w:numPr>
        <w:autoSpaceDE w:val="0"/>
        <w:autoSpaceDN w:val="0"/>
        <w:adjustRightInd w:val="0"/>
        <w:spacing w:line="240" w:lineRule="auto"/>
        <w:rPr>
          <w:rFonts w:ascii="Times New Roman" w:hAnsi="Times New Roman" w:cs="Times New Roman"/>
          <w:noProof/>
          <w:color w:val="000000" w:themeColor="text1"/>
        </w:rPr>
      </w:pPr>
      <w:r w:rsidRPr="00F36958">
        <w:rPr>
          <w:rFonts w:ascii="Times New Roman" w:hAnsi="Times New Roman" w:cs="Times New Roman"/>
          <w:noProof/>
          <w:color w:val="000000" w:themeColor="text1"/>
        </w:rPr>
        <w:t xml:space="preserve">Nikitha, D., Imran Hussain, S., &amp; Poornima, M. (2024). Integrating Power BI with Machine Learning Models for Predictive Analytics. 2024 7th International Conference on Contemporary Computing and Informatics (IC3I), 1245–1250. </w:t>
      </w:r>
      <w:hyperlink r:id="rId19" w:history="1">
        <w:r w:rsidRPr="00F36958">
          <w:rPr>
            <w:rStyle w:val="Hyperlink"/>
            <w:rFonts w:ascii="Times New Roman" w:hAnsi="Times New Roman" w:cs="Times New Roman"/>
            <w:noProof/>
            <w:color w:val="000000" w:themeColor="text1"/>
          </w:rPr>
          <w:t>https://doi.org/10.1109/IC3I61595.2024.10828685</w:t>
        </w:r>
      </w:hyperlink>
    </w:p>
    <w:p w14:paraId="57068C94" w14:textId="77777777" w:rsidR="00C61770" w:rsidRPr="00F36958" w:rsidRDefault="00C61770" w:rsidP="00A23A9D">
      <w:pPr>
        <w:pStyle w:val="ListParagraph"/>
        <w:widowControl w:val="0"/>
        <w:numPr>
          <w:ilvl w:val="0"/>
          <w:numId w:val="7"/>
        </w:numPr>
        <w:autoSpaceDE w:val="0"/>
        <w:autoSpaceDN w:val="0"/>
        <w:adjustRightInd w:val="0"/>
        <w:spacing w:line="240" w:lineRule="auto"/>
        <w:rPr>
          <w:rFonts w:ascii="Times New Roman" w:hAnsi="Times New Roman" w:cs="Times New Roman"/>
          <w:noProof/>
          <w:color w:val="000000" w:themeColor="text1"/>
        </w:rPr>
      </w:pPr>
      <w:r w:rsidRPr="00F36958">
        <w:rPr>
          <w:rFonts w:ascii="Times New Roman" w:hAnsi="Times New Roman" w:cs="Times New Roman"/>
          <w:noProof/>
          <w:color w:val="000000" w:themeColor="text1"/>
        </w:rPr>
        <w:t xml:space="preserve">Özemre, M., &amp; Kabadurmus, O. (2020). A big data analytics based methodology for strategic decision making. Journal of Enterprise Information Management, 33(6), 1467–1490. </w:t>
      </w:r>
      <w:hyperlink r:id="rId20" w:history="1">
        <w:r w:rsidRPr="00F36958">
          <w:rPr>
            <w:rStyle w:val="Hyperlink"/>
            <w:rFonts w:ascii="Times New Roman" w:hAnsi="Times New Roman" w:cs="Times New Roman"/>
            <w:noProof/>
            <w:color w:val="000000" w:themeColor="text1"/>
          </w:rPr>
          <w:t>https://doi.org/10.1108/JEIM-08-2019-0222</w:t>
        </w:r>
      </w:hyperlink>
    </w:p>
    <w:p w14:paraId="314BF716" w14:textId="77777777" w:rsidR="00C61770" w:rsidRPr="00F36958" w:rsidRDefault="00C61770" w:rsidP="00A23A9D">
      <w:pPr>
        <w:pStyle w:val="ListParagraph"/>
        <w:widowControl w:val="0"/>
        <w:numPr>
          <w:ilvl w:val="0"/>
          <w:numId w:val="7"/>
        </w:numPr>
        <w:autoSpaceDE w:val="0"/>
        <w:autoSpaceDN w:val="0"/>
        <w:adjustRightInd w:val="0"/>
        <w:spacing w:line="240" w:lineRule="auto"/>
        <w:rPr>
          <w:rFonts w:ascii="Times New Roman" w:hAnsi="Times New Roman" w:cs="Times New Roman"/>
          <w:noProof/>
          <w:color w:val="000000" w:themeColor="text1"/>
        </w:rPr>
      </w:pPr>
      <w:r w:rsidRPr="00F36958">
        <w:rPr>
          <w:rFonts w:ascii="Times New Roman" w:hAnsi="Times New Roman" w:cs="Times New Roman"/>
          <w:noProof/>
          <w:color w:val="000000" w:themeColor="text1"/>
        </w:rPr>
        <w:t xml:space="preserve">Pearce, S., Kristjansson, E., Lemyre, L., &amp; Takacs, T. (2023). Understanding the volunteer motivations, barriers and experiences of urban and rural youth: a mixed-methods analysis. Voluntary Sector Review, 14(2), 268–292. </w:t>
      </w:r>
      <w:hyperlink r:id="rId21" w:history="1">
        <w:r w:rsidRPr="00F36958">
          <w:rPr>
            <w:rStyle w:val="Hyperlink"/>
            <w:rFonts w:ascii="Times New Roman" w:hAnsi="Times New Roman" w:cs="Times New Roman"/>
            <w:noProof/>
            <w:color w:val="000000" w:themeColor="text1"/>
          </w:rPr>
          <w:t>https://doi.org/10.1332/204080521X16418948258011</w:t>
        </w:r>
      </w:hyperlink>
    </w:p>
    <w:p w14:paraId="4A52E15B" w14:textId="77777777" w:rsidR="00C61770" w:rsidRPr="00F36958" w:rsidRDefault="00C61770" w:rsidP="00A23A9D">
      <w:pPr>
        <w:pStyle w:val="ListParagraph"/>
        <w:widowControl w:val="0"/>
        <w:numPr>
          <w:ilvl w:val="0"/>
          <w:numId w:val="7"/>
        </w:numPr>
        <w:autoSpaceDE w:val="0"/>
        <w:autoSpaceDN w:val="0"/>
        <w:adjustRightInd w:val="0"/>
        <w:spacing w:line="240" w:lineRule="auto"/>
        <w:rPr>
          <w:rFonts w:ascii="Times New Roman" w:hAnsi="Times New Roman" w:cs="Times New Roman"/>
          <w:noProof/>
          <w:color w:val="000000" w:themeColor="text1"/>
        </w:rPr>
      </w:pPr>
      <w:r w:rsidRPr="00F36958">
        <w:rPr>
          <w:rFonts w:ascii="Times New Roman" w:hAnsi="Times New Roman" w:cs="Times New Roman"/>
          <w:noProof/>
          <w:color w:val="000000" w:themeColor="text1"/>
        </w:rPr>
        <w:t>Zhang, H., Chen, G., Ooi, B. C., Tan, K.-L., &amp; Zhang, M. (2015). In-Memory Big Data Management and Processing: A Survey. IEEE Transactions on Knowledge and Data Engineering, 27(7), 1920–1948.</w:t>
      </w:r>
      <w:hyperlink r:id="rId22" w:history="1">
        <w:r w:rsidRPr="00F36958">
          <w:rPr>
            <w:rStyle w:val="Hyperlink"/>
            <w:rFonts w:ascii="Times New Roman" w:hAnsi="Times New Roman" w:cs="Times New Roman"/>
            <w:noProof/>
            <w:color w:val="000000" w:themeColor="text1"/>
          </w:rPr>
          <w:t xml:space="preserve"> https://doi.org/10.1109/TKDE.2015.2427795</w:t>
        </w:r>
      </w:hyperlink>
    </w:p>
    <w:p w14:paraId="2D058567" w14:textId="4C8EAD5E" w:rsidR="00770FA2" w:rsidRPr="00F36958" w:rsidRDefault="00C61770" w:rsidP="00A23A9D">
      <w:pPr>
        <w:pStyle w:val="ListParagraph"/>
        <w:numPr>
          <w:ilvl w:val="0"/>
          <w:numId w:val="7"/>
        </w:numPr>
        <w:spacing w:line="240" w:lineRule="auto"/>
        <w:rPr>
          <w:rFonts w:ascii="Times New Roman" w:hAnsi="Times New Roman" w:cs="Times New Roman"/>
          <w:color w:val="000000" w:themeColor="text1"/>
          <w:lang w:val="en-AU"/>
        </w:rPr>
      </w:pPr>
      <w:r w:rsidRPr="00F36958">
        <w:rPr>
          <w:rFonts w:ascii="Times New Roman" w:hAnsi="Times New Roman" w:cs="Times New Roman"/>
          <w:color w:val="000000" w:themeColor="text1"/>
        </w:rPr>
        <w:fldChar w:fldCharType="end"/>
      </w:r>
      <w:r w:rsidR="00770FA2" w:rsidRPr="00F36958">
        <w:rPr>
          <w:rFonts w:ascii="Times New Roman" w:hAnsi="Times New Roman" w:cs="Times New Roman"/>
          <w:color w:val="000000" w:themeColor="text1"/>
        </w:rPr>
        <w:t xml:space="preserve">Annet, K. A. (2024). Public Funding Models for Education: Challenges and Solutions. Research Output Journal of Education, 4(3), 7–10. </w:t>
      </w:r>
      <w:hyperlink r:id="rId23" w:history="1">
        <w:r w:rsidR="00770FA2" w:rsidRPr="00F36958">
          <w:rPr>
            <w:rStyle w:val="Hyperlink"/>
            <w:rFonts w:ascii="Times New Roman" w:hAnsi="Times New Roman" w:cs="Times New Roman"/>
            <w:color w:val="000000" w:themeColor="text1"/>
          </w:rPr>
          <w:t>https://doi.org/10.59298/ROJE/2024/43710</w:t>
        </w:r>
      </w:hyperlink>
    </w:p>
    <w:p w14:paraId="47DB8DAB" w14:textId="77777777" w:rsidR="00770FA2" w:rsidRPr="00F36958" w:rsidRDefault="00770FA2" w:rsidP="00A23A9D">
      <w:pPr>
        <w:pStyle w:val="ListParagraph"/>
        <w:numPr>
          <w:ilvl w:val="0"/>
          <w:numId w:val="7"/>
        </w:numPr>
        <w:spacing w:line="240" w:lineRule="auto"/>
        <w:rPr>
          <w:rFonts w:ascii="Times New Roman" w:hAnsi="Times New Roman" w:cs="Times New Roman"/>
          <w:color w:val="000000" w:themeColor="text1"/>
          <w:lang w:val="en-AU"/>
        </w:rPr>
      </w:pPr>
      <w:r w:rsidRPr="00F36958">
        <w:rPr>
          <w:rFonts w:ascii="Times New Roman" w:hAnsi="Times New Roman" w:cs="Times New Roman"/>
          <w:color w:val="000000" w:themeColor="text1"/>
        </w:rPr>
        <w:t xml:space="preserve">Cooksey, R. W. (2020). Descriptive Statistics for Summarizing Data. In Illustrating Statistical Procedures: Finding Meaning in Quantitative Data (pp. 61–139). Springer Singapore. </w:t>
      </w:r>
      <w:hyperlink r:id="rId24" w:history="1">
        <w:r w:rsidRPr="00F36958">
          <w:rPr>
            <w:rStyle w:val="Hyperlink"/>
            <w:rFonts w:ascii="Times New Roman" w:hAnsi="Times New Roman" w:cs="Times New Roman"/>
            <w:color w:val="000000" w:themeColor="text1"/>
          </w:rPr>
          <w:t>https://doi.org/10.1007/978-981-15-2537-7_5</w:t>
        </w:r>
      </w:hyperlink>
    </w:p>
    <w:p w14:paraId="4CD6BD60" w14:textId="6B527763" w:rsidR="00770FA2" w:rsidRPr="00F36958" w:rsidRDefault="00770FA2" w:rsidP="00A23A9D">
      <w:pPr>
        <w:pStyle w:val="ListParagraph"/>
        <w:numPr>
          <w:ilvl w:val="0"/>
          <w:numId w:val="7"/>
        </w:numPr>
        <w:spacing w:line="240" w:lineRule="auto"/>
        <w:rPr>
          <w:rFonts w:ascii="Times New Roman" w:hAnsi="Times New Roman" w:cs="Times New Roman"/>
          <w:color w:val="000000" w:themeColor="text1"/>
          <w:lang w:val="en-AU"/>
        </w:rPr>
      </w:pPr>
      <w:r w:rsidRPr="00F36958">
        <w:rPr>
          <w:rFonts w:ascii="Times New Roman" w:hAnsi="Times New Roman" w:cs="Times New Roman"/>
          <w:color w:val="000000" w:themeColor="text1"/>
        </w:rPr>
        <w:t xml:space="preserve">Doorudinia, A., Dadashpoor, H., &amp; Meshkini, A. (2025). Wrong polycentricity-right </w:t>
      </w:r>
      <w:r w:rsidR="00F36958" w:rsidRPr="00F36958">
        <w:rPr>
          <w:rFonts w:ascii="Times New Roman" w:hAnsi="Times New Roman" w:cs="Times New Roman"/>
          <w:color w:val="000000" w:themeColor="text1"/>
        </w:rPr>
        <w:t>polycentricity?</w:t>
      </w:r>
      <w:r w:rsidRPr="00F36958">
        <w:rPr>
          <w:rFonts w:ascii="Times New Roman" w:hAnsi="Times New Roman" w:cs="Times New Roman"/>
          <w:color w:val="000000" w:themeColor="text1"/>
        </w:rPr>
        <w:t xml:space="preserve"> Insights from an empirical study in Tehran metropolitan region, Iran. Papers in Regional Science, 104(1), 100075. </w:t>
      </w:r>
      <w:hyperlink r:id="rId25" w:history="1">
        <w:r w:rsidRPr="00F36958">
          <w:rPr>
            <w:rStyle w:val="Hyperlink"/>
            <w:rFonts w:ascii="Times New Roman" w:hAnsi="Times New Roman" w:cs="Times New Roman"/>
            <w:color w:val="000000" w:themeColor="text1"/>
          </w:rPr>
          <w:t>https://doi.org/10.1016/j.pirs.2024.100075</w:t>
        </w:r>
      </w:hyperlink>
    </w:p>
    <w:p w14:paraId="652BE710" w14:textId="77777777" w:rsidR="00770FA2" w:rsidRPr="00F36958" w:rsidRDefault="00770FA2" w:rsidP="00A23A9D">
      <w:pPr>
        <w:pStyle w:val="ListParagraph"/>
        <w:numPr>
          <w:ilvl w:val="0"/>
          <w:numId w:val="7"/>
        </w:numPr>
        <w:spacing w:line="240" w:lineRule="auto"/>
        <w:rPr>
          <w:rFonts w:ascii="Times New Roman" w:hAnsi="Times New Roman" w:cs="Times New Roman"/>
          <w:color w:val="000000" w:themeColor="text1"/>
          <w:lang w:val="en-AU"/>
        </w:rPr>
      </w:pPr>
      <w:r w:rsidRPr="00F36958">
        <w:rPr>
          <w:rFonts w:ascii="Times New Roman" w:hAnsi="Times New Roman" w:cs="Times New Roman"/>
          <w:color w:val="000000" w:themeColor="text1"/>
        </w:rPr>
        <w:lastRenderedPageBreak/>
        <w:t xml:space="preserve">Gao, N., </w:t>
      </w:r>
      <w:proofErr w:type="spellStart"/>
      <w:r w:rsidRPr="00F36958">
        <w:rPr>
          <w:rFonts w:ascii="Times New Roman" w:hAnsi="Times New Roman" w:cs="Times New Roman"/>
          <w:color w:val="000000" w:themeColor="text1"/>
        </w:rPr>
        <w:t>Saiedur</w:t>
      </w:r>
      <w:proofErr w:type="spellEnd"/>
      <w:r w:rsidRPr="00F36958">
        <w:rPr>
          <w:rFonts w:ascii="Times New Roman" w:hAnsi="Times New Roman" w:cs="Times New Roman"/>
          <w:color w:val="000000" w:themeColor="text1"/>
        </w:rPr>
        <w:t xml:space="preserve"> Rahaman, M., Shao, W., &amp; Salim, F. D. (2021). Investigating the Reliability of Self-report Data in the Wild: The Quest for Ground Truth. Adjunct Proceedings of the 2021 ACM International Joint Conference on Pervasive and Ubiquitous Computing and Proceedings of the 2021 ACM International Symposium on Wearable Computers, 237–242. </w:t>
      </w:r>
      <w:hyperlink r:id="rId26" w:history="1">
        <w:r w:rsidRPr="00F36958">
          <w:rPr>
            <w:rStyle w:val="Hyperlink"/>
            <w:rFonts w:ascii="Times New Roman" w:hAnsi="Times New Roman" w:cs="Times New Roman"/>
            <w:color w:val="000000" w:themeColor="text1"/>
          </w:rPr>
          <w:t>https://doi.org/10.1145/3460418.3479338</w:t>
        </w:r>
      </w:hyperlink>
    </w:p>
    <w:p w14:paraId="09102D8F" w14:textId="77777777" w:rsidR="00A23A9D" w:rsidRPr="00F36958" w:rsidRDefault="00A23A9D" w:rsidP="00A23A9D">
      <w:pPr>
        <w:pStyle w:val="NormalWeb"/>
        <w:numPr>
          <w:ilvl w:val="0"/>
          <w:numId w:val="7"/>
        </w:numPr>
        <w:spacing w:before="0" w:beforeAutospacing="0" w:after="0" w:afterAutospacing="0"/>
        <w:rPr>
          <w:color w:val="000000" w:themeColor="text1"/>
        </w:rPr>
      </w:pPr>
      <w:proofErr w:type="spellStart"/>
      <w:r w:rsidRPr="00F36958">
        <w:rPr>
          <w:color w:val="000000" w:themeColor="text1"/>
        </w:rPr>
        <w:t>Areed</w:t>
      </w:r>
      <w:proofErr w:type="spellEnd"/>
      <w:r w:rsidRPr="00F36958">
        <w:rPr>
          <w:color w:val="000000" w:themeColor="text1"/>
        </w:rPr>
        <w:t xml:space="preserve">, W. D., Price, A., Arnett, K., Thompson, H., Malseed, R., &amp; </w:t>
      </w:r>
      <w:proofErr w:type="spellStart"/>
      <w:r w:rsidRPr="00F36958">
        <w:rPr>
          <w:color w:val="000000" w:themeColor="text1"/>
        </w:rPr>
        <w:t>Mengersen</w:t>
      </w:r>
      <w:proofErr w:type="spellEnd"/>
      <w:r w:rsidRPr="00F36958">
        <w:rPr>
          <w:color w:val="000000" w:themeColor="text1"/>
        </w:rPr>
        <w:t>, K. (2023, May 25).</w:t>
      </w:r>
      <w:r w:rsidRPr="00F36958">
        <w:rPr>
          <w:rStyle w:val="apple-converted-space"/>
          <w:rFonts w:eastAsiaTheme="majorEastAsia"/>
          <w:color w:val="000000" w:themeColor="text1"/>
        </w:rPr>
        <w:t> </w:t>
      </w:r>
      <w:r w:rsidRPr="00F36958">
        <w:rPr>
          <w:color w:val="000000" w:themeColor="text1"/>
        </w:rPr>
        <w:t xml:space="preserve">Assessing the Spatial Structure of the Association between Attendance at Preschool and </w:t>
      </w:r>
      <w:proofErr w:type="spellStart"/>
      <w:r w:rsidRPr="00F36958">
        <w:rPr>
          <w:color w:val="000000" w:themeColor="text1"/>
        </w:rPr>
        <w:t>Childrens</w:t>
      </w:r>
      <w:proofErr w:type="spellEnd"/>
      <w:r w:rsidRPr="00F36958">
        <w:rPr>
          <w:color w:val="000000" w:themeColor="text1"/>
        </w:rPr>
        <w:t xml:space="preserve"> Developmental Vulnerabilities in Queensland Australia. arXiv.org. Retrieved August 6, 2025, from</w:t>
      </w:r>
      <w:r w:rsidRPr="00F36958">
        <w:rPr>
          <w:rStyle w:val="apple-converted-space"/>
          <w:rFonts w:eastAsiaTheme="majorEastAsia"/>
          <w:color w:val="000000" w:themeColor="text1"/>
        </w:rPr>
        <w:t> </w:t>
      </w:r>
      <w:r w:rsidRPr="00F36958">
        <w:rPr>
          <w:rStyle w:val="url"/>
          <w:rFonts w:eastAsiaTheme="majorEastAsia"/>
          <w:color w:val="000000" w:themeColor="text1"/>
        </w:rPr>
        <w:t>https://arxiv.org/abs/2305.15746?</w:t>
      </w:r>
    </w:p>
    <w:p w14:paraId="4CB08E35" w14:textId="77777777" w:rsidR="00A23A9D" w:rsidRPr="00F36958" w:rsidRDefault="00A23A9D" w:rsidP="00A23A9D">
      <w:pPr>
        <w:pStyle w:val="NormalWeb"/>
        <w:numPr>
          <w:ilvl w:val="0"/>
          <w:numId w:val="7"/>
        </w:numPr>
        <w:spacing w:before="0" w:beforeAutospacing="0" w:after="0" w:afterAutospacing="0"/>
        <w:rPr>
          <w:color w:val="000000" w:themeColor="text1"/>
        </w:rPr>
      </w:pPr>
      <w:r w:rsidRPr="00F36958">
        <w:rPr>
          <w:color w:val="000000" w:themeColor="text1"/>
        </w:rPr>
        <w:t>Blanden, J., Doepke, M., &amp; Stuhler, J. (2022, April 10).</w:t>
      </w:r>
      <w:r w:rsidRPr="00F36958">
        <w:rPr>
          <w:rStyle w:val="apple-converted-space"/>
          <w:rFonts w:eastAsiaTheme="majorEastAsia"/>
          <w:color w:val="000000" w:themeColor="text1"/>
        </w:rPr>
        <w:t> </w:t>
      </w:r>
      <w:r w:rsidRPr="00F36958">
        <w:rPr>
          <w:color w:val="000000" w:themeColor="text1"/>
        </w:rPr>
        <w:t>Educational inequality. arXiv.org.</w:t>
      </w:r>
      <w:r w:rsidRPr="00F36958">
        <w:rPr>
          <w:rStyle w:val="apple-converted-space"/>
          <w:rFonts w:eastAsiaTheme="majorEastAsia"/>
          <w:color w:val="000000" w:themeColor="text1"/>
        </w:rPr>
        <w:t> </w:t>
      </w:r>
      <w:r w:rsidRPr="00F36958">
        <w:rPr>
          <w:rStyle w:val="url"/>
          <w:rFonts w:eastAsiaTheme="majorEastAsia"/>
          <w:color w:val="000000" w:themeColor="text1"/>
        </w:rPr>
        <w:t>https://arxiv.org/abs/2204.04701?</w:t>
      </w:r>
    </w:p>
    <w:p w14:paraId="2C4C5721" w14:textId="77777777" w:rsidR="00A23A9D" w:rsidRPr="00F36958" w:rsidRDefault="00A23A9D" w:rsidP="00A23A9D">
      <w:pPr>
        <w:pStyle w:val="NormalWeb"/>
        <w:numPr>
          <w:ilvl w:val="0"/>
          <w:numId w:val="7"/>
        </w:numPr>
        <w:spacing w:before="0" w:beforeAutospacing="0" w:after="0" w:afterAutospacing="0"/>
        <w:rPr>
          <w:color w:val="000000" w:themeColor="text1"/>
        </w:rPr>
      </w:pPr>
      <w:r w:rsidRPr="00F36958">
        <w:rPr>
          <w:color w:val="000000" w:themeColor="text1"/>
        </w:rPr>
        <w:t xml:space="preserve">Gunawan, D., Griffiths, W., &amp; </w:t>
      </w:r>
      <w:proofErr w:type="spellStart"/>
      <w:r w:rsidRPr="00F36958">
        <w:rPr>
          <w:color w:val="000000" w:themeColor="text1"/>
        </w:rPr>
        <w:t>Chotikapanich</w:t>
      </w:r>
      <w:proofErr w:type="spellEnd"/>
      <w:r w:rsidRPr="00F36958">
        <w:rPr>
          <w:color w:val="000000" w:themeColor="text1"/>
        </w:rPr>
        <w:t>, D. (2021, August 29).</w:t>
      </w:r>
      <w:r w:rsidRPr="00F36958">
        <w:rPr>
          <w:rStyle w:val="apple-converted-space"/>
          <w:rFonts w:eastAsiaTheme="majorEastAsia"/>
          <w:color w:val="000000" w:themeColor="text1"/>
        </w:rPr>
        <w:t> </w:t>
      </w:r>
      <w:r w:rsidRPr="00F36958">
        <w:rPr>
          <w:color w:val="000000" w:themeColor="text1"/>
        </w:rPr>
        <w:t>Inequality in Education: A comparison of Australian indigenous and nonindigenous populations. arXiv.org. Retrieved August 6, 2025, from</w:t>
      </w:r>
      <w:r w:rsidRPr="00F36958">
        <w:rPr>
          <w:rStyle w:val="apple-converted-space"/>
          <w:rFonts w:eastAsiaTheme="majorEastAsia"/>
          <w:color w:val="000000" w:themeColor="text1"/>
        </w:rPr>
        <w:t> </w:t>
      </w:r>
      <w:r w:rsidRPr="00F36958">
        <w:rPr>
          <w:rStyle w:val="url"/>
          <w:rFonts w:eastAsiaTheme="majorEastAsia"/>
          <w:color w:val="000000" w:themeColor="text1"/>
        </w:rPr>
        <w:t>https://arxiv.org/abs/2108.12830?</w:t>
      </w:r>
    </w:p>
    <w:p w14:paraId="07B75898" w14:textId="77777777" w:rsidR="00A23A9D" w:rsidRPr="00F36958" w:rsidRDefault="00A23A9D" w:rsidP="00A23A9D">
      <w:pPr>
        <w:pStyle w:val="NormalWeb"/>
        <w:numPr>
          <w:ilvl w:val="0"/>
          <w:numId w:val="7"/>
        </w:numPr>
        <w:spacing w:before="0" w:beforeAutospacing="0" w:after="0" w:afterAutospacing="0"/>
        <w:rPr>
          <w:color w:val="000000" w:themeColor="text1"/>
        </w:rPr>
      </w:pPr>
      <w:r w:rsidRPr="00F36958">
        <w:rPr>
          <w:color w:val="000000" w:themeColor="text1"/>
        </w:rPr>
        <w:t>Morris, A. &amp; Institute for Public Policy and Governance, University of Technology Sydney, Sydney, NSW, Australia. (2024). Inequality and education in Australia. In</w:t>
      </w:r>
      <w:r w:rsidRPr="00F36958">
        <w:rPr>
          <w:rStyle w:val="apple-converted-space"/>
          <w:rFonts w:eastAsiaTheme="majorEastAsia"/>
          <w:color w:val="000000" w:themeColor="text1"/>
        </w:rPr>
        <w:t> </w:t>
      </w:r>
      <w:r w:rsidRPr="00F36958">
        <w:rPr>
          <w:color w:val="000000" w:themeColor="text1"/>
        </w:rPr>
        <w:t>The Economic and Labour Relations Review</w:t>
      </w:r>
      <w:r w:rsidRPr="00F36958">
        <w:rPr>
          <w:rStyle w:val="apple-converted-space"/>
          <w:rFonts w:eastAsiaTheme="majorEastAsia"/>
          <w:color w:val="000000" w:themeColor="text1"/>
        </w:rPr>
        <w:t> </w:t>
      </w:r>
      <w:r w:rsidRPr="00F36958">
        <w:rPr>
          <w:color w:val="000000" w:themeColor="text1"/>
        </w:rPr>
        <w:t>(pp. 1–22) [Journal-article]. Cambridge University Press.</w:t>
      </w:r>
      <w:r w:rsidRPr="00F36958">
        <w:rPr>
          <w:rStyle w:val="apple-converted-space"/>
          <w:rFonts w:eastAsiaTheme="majorEastAsia"/>
          <w:color w:val="000000" w:themeColor="text1"/>
        </w:rPr>
        <w:t> </w:t>
      </w:r>
      <w:r w:rsidRPr="00F36958">
        <w:rPr>
          <w:rStyle w:val="url"/>
          <w:rFonts w:eastAsiaTheme="majorEastAsia"/>
          <w:color w:val="000000" w:themeColor="text1"/>
        </w:rPr>
        <w:t>https://doi.org/10.1017/elr.2024.18</w:t>
      </w:r>
    </w:p>
    <w:p w14:paraId="1FCE7D43" w14:textId="77777777" w:rsidR="00A23A9D" w:rsidRPr="00F36958" w:rsidRDefault="00A23A9D" w:rsidP="00A23A9D">
      <w:pPr>
        <w:pStyle w:val="NormalWeb"/>
        <w:numPr>
          <w:ilvl w:val="0"/>
          <w:numId w:val="7"/>
        </w:numPr>
        <w:spacing w:before="0" w:beforeAutospacing="0" w:after="0" w:afterAutospacing="0"/>
        <w:rPr>
          <w:color w:val="000000" w:themeColor="text1"/>
        </w:rPr>
      </w:pPr>
      <w:r w:rsidRPr="00F36958">
        <w:rPr>
          <w:color w:val="000000" w:themeColor="text1"/>
        </w:rPr>
        <w:t>Rowe, E., &amp; Perry, L. (2020, January 2).</w:t>
      </w:r>
      <w:r w:rsidRPr="00F36958">
        <w:rPr>
          <w:rStyle w:val="apple-converted-space"/>
          <w:rFonts w:eastAsiaTheme="majorEastAsia"/>
          <w:color w:val="000000" w:themeColor="text1"/>
        </w:rPr>
        <w:t> </w:t>
      </w:r>
      <w:r w:rsidRPr="00F36958">
        <w:rPr>
          <w:color w:val="000000" w:themeColor="text1"/>
        </w:rPr>
        <w:t xml:space="preserve">Inequalities in the private funding of public schools: parent financial contributions and school socioeconomic status. </w:t>
      </w:r>
      <w:proofErr w:type="spellStart"/>
      <w:r w:rsidRPr="00F36958">
        <w:rPr>
          <w:color w:val="000000" w:themeColor="text1"/>
        </w:rPr>
        <w:t>Figshare</w:t>
      </w:r>
      <w:proofErr w:type="spellEnd"/>
      <w:r w:rsidRPr="00F36958">
        <w:rPr>
          <w:color w:val="000000" w:themeColor="text1"/>
        </w:rPr>
        <w:t>. Retrieved August 6, 2025, from</w:t>
      </w:r>
      <w:r w:rsidRPr="00F36958">
        <w:rPr>
          <w:rStyle w:val="apple-converted-space"/>
          <w:rFonts w:eastAsiaTheme="majorEastAsia"/>
          <w:color w:val="000000" w:themeColor="text1"/>
        </w:rPr>
        <w:t> </w:t>
      </w:r>
      <w:r w:rsidRPr="00F36958">
        <w:rPr>
          <w:rStyle w:val="url"/>
          <w:rFonts w:eastAsiaTheme="majorEastAsia"/>
          <w:color w:val="000000" w:themeColor="text1"/>
        </w:rPr>
        <w:t>https://dro.deakin.edu.au/articles/journal_contribution/Inequalities_in_the_private_funding_of_public_schools_parent_financial_contributions_and_school_socioeconomic_status/24226381?</w:t>
      </w:r>
    </w:p>
    <w:p w14:paraId="4FA8361A" w14:textId="77777777" w:rsidR="00A23A9D" w:rsidRPr="00F36958" w:rsidRDefault="00A23A9D" w:rsidP="00A23A9D">
      <w:pPr>
        <w:pStyle w:val="NormalWeb"/>
        <w:numPr>
          <w:ilvl w:val="0"/>
          <w:numId w:val="7"/>
        </w:numPr>
        <w:spacing w:before="0" w:beforeAutospacing="0" w:after="0" w:afterAutospacing="0"/>
        <w:rPr>
          <w:color w:val="000000" w:themeColor="text1"/>
        </w:rPr>
      </w:pPr>
      <w:r w:rsidRPr="00F36958">
        <w:rPr>
          <w:color w:val="000000" w:themeColor="text1"/>
        </w:rPr>
        <w:t>Rowe, E., &amp; Perry, L. B. (2019). Private financing in urban public schools: inequalities in a stratified education marketplace.</w:t>
      </w:r>
      <w:r w:rsidRPr="00F36958">
        <w:rPr>
          <w:rStyle w:val="apple-converted-space"/>
          <w:rFonts w:eastAsiaTheme="majorEastAsia"/>
          <w:color w:val="000000" w:themeColor="text1"/>
        </w:rPr>
        <w:t> </w:t>
      </w:r>
      <w:r w:rsidRPr="00F36958">
        <w:rPr>
          <w:color w:val="000000" w:themeColor="text1"/>
        </w:rPr>
        <w:t>The Australian Educational Researcher,</w:t>
      </w:r>
      <w:r w:rsidRPr="00F36958">
        <w:rPr>
          <w:rStyle w:val="apple-converted-space"/>
          <w:rFonts w:eastAsiaTheme="majorEastAsia"/>
          <w:color w:val="000000" w:themeColor="text1"/>
        </w:rPr>
        <w:t> </w:t>
      </w:r>
      <w:r w:rsidRPr="00F36958">
        <w:rPr>
          <w:color w:val="000000" w:themeColor="text1"/>
        </w:rPr>
        <w:t>47(1), 19–37.</w:t>
      </w:r>
      <w:r w:rsidRPr="00F36958">
        <w:rPr>
          <w:rStyle w:val="apple-converted-space"/>
          <w:rFonts w:eastAsiaTheme="majorEastAsia"/>
          <w:color w:val="000000" w:themeColor="text1"/>
        </w:rPr>
        <w:t> </w:t>
      </w:r>
      <w:r w:rsidRPr="00F36958">
        <w:rPr>
          <w:rStyle w:val="url"/>
          <w:rFonts w:eastAsiaTheme="majorEastAsia"/>
          <w:color w:val="000000" w:themeColor="text1"/>
        </w:rPr>
        <w:t>https://doi.org/10.1007/s13384-019-00328-0</w:t>
      </w:r>
    </w:p>
    <w:p w14:paraId="03305738" w14:textId="77777777" w:rsidR="00A23A9D" w:rsidRPr="00F36958" w:rsidRDefault="00A23A9D" w:rsidP="00A23A9D">
      <w:pPr>
        <w:pStyle w:val="NormalWeb"/>
        <w:numPr>
          <w:ilvl w:val="0"/>
          <w:numId w:val="7"/>
        </w:numPr>
        <w:spacing w:before="0" w:beforeAutospacing="0" w:after="0" w:afterAutospacing="0"/>
        <w:rPr>
          <w:color w:val="000000" w:themeColor="text1"/>
        </w:rPr>
      </w:pPr>
      <w:r w:rsidRPr="00F36958">
        <w:rPr>
          <w:color w:val="000000" w:themeColor="text1"/>
        </w:rPr>
        <w:t>scheme=</w:t>
      </w:r>
      <w:proofErr w:type="spellStart"/>
      <w:r w:rsidRPr="00F36958">
        <w:rPr>
          <w:color w:val="000000" w:themeColor="text1"/>
        </w:rPr>
        <w:t>AGLSTERMS.AglsAgent</w:t>
      </w:r>
      <w:proofErr w:type="spellEnd"/>
      <w:r w:rsidRPr="00F36958">
        <w:rPr>
          <w:color w:val="000000" w:themeColor="text1"/>
        </w:rPr>
        <w:t xml:space="preserve">; </w:t>
      </w:r>
      <w:proofErr w:type="spellStart"/>
      <w:r w:rsidRPr="00F36958">
        <w:rPr>
          <w:color w:val="000000" w:themeColor="text1"/>
        </w:rPr>
        <w:t>corporateName</w:t>
      </w:r>
      <w:proofErr w:type="spellEnd"/>
      <w:r w:rsidRPr="00F36958">
        <w:rPr>
          <w:color w:val="000000" w:themeColor="text1"/>
        </w:rPr>
        <w:t>=Department of Education; address=50 Marcus Clarke St, Canberra City, ACT 2601; contact=+61 1300 566 046. (2025, July 29).</w:t>
      </w:r>
      <w:r w:rsidRPr="00F36958">
        <w:rPr>
          <w:rStyle w:val="apple-converted-space"/>
          <w:rFonts w:eastAsiaTheme="majorEastAsia"/>
          <w:color w:val="000000" w:themeColor="text1"/>
        </w:rPr>
        <w:t> </w:t>
      </w:r>
      <w:r w:rsidRPr="00F36958">
        <w:rPr>
          <w:color w:val="000000" w:themeColor="text1"/>
        </w:rPr>
        <w:t>How schools are funded. Department of Education. Retrieved August 6, 2025, from</w:t>
      </w:r>
      <w:r w:rsidRPr="00F36958">
        <w:rPr>
          <w:rStyle w:val="apple-converted-space"/>
          <w:rFonts w:eastAsiaTheme="majorEastAsia"/>
          <w:color w:val="000000" w:themeColor="text1"/>
        </w:rPr>
        <w:t> </w:t>
      </w:r>
      <w:r w:rsidRPr="00F36958">
        <w:rPr>
          <w:rStyle w:val="url"/>
          <w:rFonts w:eastAsiaTheme="majorEastAsia"/>
          <w:color w:val="000000" w:themeColor="text1"/>
        </w:rPr>
        <w:t>https://www.education.gov.au/schooling/how-schools-are-funded?</w:t>
      </w:r>
    </w:p>
    <w:p w14:paraId="4D672556" w14:textId="77777777" w:rsidR="00A23A9D" w:rsidRPr="00F36958" w:rsidRDefault="00A23A9D" w:rsidP="00A23A9D">
      <w:pPr>
        <w:pStyle w:val="ListParagraph"/>
        <w:spacing w:line="240" w:lineRule="auto"/>
        <w:rPr>
          <w:rFonts w:ascii="Times New Roman" w:hAnsi="Times New Roman" w:cs="Times New Roman"/>
          <w:color w:val="000000" w:themeColor="text1"/>
          <w:lang w:val="en-AU"/>
        </w:rPr>
      </w:pPr>
    </w:p>
    <w:p w14:paraId="6BD634D9" w14:textId="604C2CD3" w:rsidR="00C61770" w:rsidRPr="00F36958" w:rsidRDefault="00C61770" w:rsidP="00A23A9D">
      <w:pPr>
        <w:spacing w:line="240" w:lineRule="auto"/>
        <w:rPr>
          <w:rFonts w:ascii="Times New Roman" w:hAnsi="Times New Roman" w:cs="Times New Roman"/>
          <w:color w:val="000000" w:themeColor="text1"/>
        </w:rPr>
      </w:pPr>
    </w:p>
    <w:sectPr w:rsidR="00C61770" w:rsidRPr="00F36958">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6A908" w14:textId="77777777" w:rsidR="00CA0E5E" w:rsidRDefault="00CA0E5E" w:rsidP="00C61770">
      <w:pPr>
        <w:spacing w:after="0" w:line="240" w:lineRule="auto"/>
      </w:pPr>
      <w:r>
        <w:separator/>
      </w:r>
    </w:p>
  </w:endnote>
  <w:endnote w:type="continuationSeparator" w:id="0">
    <w:p w14:paraId="13949E4E" w14:textId="77777777" w:rsidR="00CA0E5E" w:rsidRDefault="00CA0E5E" w:rsidP="00C61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CA84E" w14:textId="77777777" w:rsidR="007664F4" w:rsidRDefault="007664F4">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64D2903" w14:textId="77777777" w:rsidR="007664F4" w:rsidRDefault="00766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E93C8" w14:textId="77777777" w:rsidR="00CA0E5E" w:rsidRDefault="00CA0E5E" w:rsidP="00C61770">
      <w:pPr>
        <w:spacing w:after="0" w:line="240" w:lineRule="auto"/>
      </w:pPr>
      <w:r>
        <w:separator/>
      </w:r>
    </w:p>
  </w:footnote>
  <w:footnote w:type="continuationSeparator" w:id="0">
    <w:p w14:paraId="35B24231" w14:textId="77777777" w:rsidR="00CA0E5E" w:rsidRDefault="00CA0E5E" w:rsidP="00C61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3A681" w14:textId="4A535827" w:rsidR="007664F4" w:rsidRPr="007664F4" w:rsidRDefault="007664F4">
    <w:pPr>
      <w:pStyle w:val="Header"/>
      <w:rPr>
        <w:lang w:val="en-AU"/>
      </w:rPr>
    </w:pPr>
    <w:r>
      <w:rPr>
        <w:lang w:val="en-AU"/>
      </w:rPr>
      <w:t>Aayush Purohit 1850846</w:t>
    </w:r>
    <w:r>
      <w:rPr>
        <w:lang w:val="en-AU"/>
      </w:rPr>
      <w:tab/>
    </w:r>
    <w:r>
      <w:rPr>
        <w:lang w:val="en-AU"/>
      </w:rPr>
      <w:tab/>
      <w:t>DATA6000 A3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6CFB"/>
    <w:multiLevelType w:val="multilevel"/>
    <w:tmpl w:val="3C08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80497"/>
    <w:multiLevelType w:val="hybridMultilevel"/>
    <w:tmpl w:val="76005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E02410A"/>
    <w:multiLevelType w:val="hybridMultilevel"/>
    <w:tmpl w:val="0562B9E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035CF2"/>
    <w:multiLevelType w:val="hybridMultilevel"/>
    <w:tmpl w:val="E5D4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3250C"/>
    <w:multiLevelType w:val="hybridMultilevel"/>
    <w:tmpl w:val="A588F96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8CB3A12"/>
    <w:multiLevelType w:val="hybridMultilevel"/>
    <w:tmpl w:val="184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6065D"/>
    <w:multiLevelType w:val="hybridMultilevel"/>
    <w:tmpl w:val="8CD40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ED365A"/>
    <w:multiLevelType w:val="multilevel"/>
    <w:tmpl w:val="9518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724973">
    <w:abstractNumId w:val="7"/>
  </w:num>
  <w:num w:numId="2" w16cid:durableId="1070543859">
    <w:abstractNumId w:val="0"/>
  </w:num>
  <w:num w:numId="3" w16cid:durableId="948126902">
    <w:abstractNumId w:val="3"/>
  </w:num>
  <w:num w:numId="4" w16cid:durableId="2020346085">
    <w:abstractNumId w:val="5"/>
  </w:num>
  <w:num w:numId="5" w16cid:durableId="1723866140">
    <w:abstractNumId w:val="1"/>
  </w:num>
  <w:num w:numId="6" w16cid:durableId="1439329663">
    <w:abstractNumId w:val="6"/>
  </w:num>
  <w:num w:numId="7" w16cid:durableId="91628060">
    <w:abstractNumId w:val="4"/>
  </w:num>
  <w:num w:numId="8" w16cid:durableId="1583949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9D"/>
    <w:rsid w:val="00117675"/>
    <w:rsid w:val="002404DF"/>
    <w:rsid w:val="0032157E"/>
    <w:rsid w:val="003D28AF"/>
    <w:rsid w:val="003F7A57"/>
    <w:rsid w:val="0045638C"/>
    <w:rsid w:val="004A08BA"/>
    <w:rsid w:val="004C3838"/>
    <w:rsid w:val="00533832"/>
    <w:rsid w:val="005B25D7"/>
    <w:rsid w:val="00655B78"/>
    <w:rsid w:val="006A0B26"/>
    <w:rsid w:val="007664F4"/>
    <w:rsid w:val="00770FA2"/>
    <w:rsid w:val="0078315B"/>
    <w:rsid w:val="007B57D2"/>
    <w:rsid w:val="007E2196"/>
    <w:rsid w:val="0089147D"/>
    <w:rsid w:val="00916212"/>
    <w:rsid w:val="009C7B4F"/>
    <w:rsid w:val="00A23A9D"/>
    <w:rsid w:val="00A338A8"/>
    <w:rsid w:val="00A35301"/>
    <w:rsid w:val="00AC75F8"/>
    <w:rsid w:val="00C20CB8"/>
    <w:rsid w:val="00C61770"/>
    <w:rsid w:val="00C773D2"/>
    <w:rsid w:val="00CA0E5E"/>
    <w:rsid w:val="00D66CAB"/>
    <w:rsid w:val="00E6669D"/>
    <w:rsid w:val="00E72403"/>
    <w:rsid w:val="00ED5DDB"/>
    <w:rsid w:val="00ED76A1"/>
    <w:rsid w:val="00F05A24"/>
    <w:rsid w:val="00F3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9E116"/>
  <w15:chartTrackingRefBased/>
  <w15:docId w15:val="{446A0FEA-0169-4B4A-BF7C-700AB357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4DF"/>
    <w:pPr>
      <w:jc w:val="both"/>
    </w:pPr>
  </w:style>
  <w:style w:type="paragraph" w:styleId="Heading1">
    <w:name w:val="heading 1"/>
    <w:basedOn w:val="Normal"/>
    <w:next w:val="Normal"/>
    <w:link w:val="Heading1Char"/>
    <w:uiPriority w:val="9"/>
    <w:qFormat/>
    <w:rsid w:val="00E66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6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6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6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66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66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69D"/>
    <w:rPr>
      <w:rFonts w:eastAsiaTheme="majorEastAsia" w:cstheme="majorBidi"/>
      <w:color w:val="272727" w:themeColor="text1" w:themeTint="D8"/>
    </w:rPr>
  </w:style>
  <w:style w:type="paragraph" w:styleId="Title">
    <w:name w:val="Title"/>
    <w:basedOn w:val="Normal"/>
    <w:next w:val="Normal"/>
    <w:link w:val="TitleChar"/>
    <w:uiPriority w:val="10"/>
    <w:qFormat/>
    <w:rsid w:val="00E66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69D"/>
    <w:pPr>
      <w:spacing w:before="160"/>
      <w:jc w:val="center"/>
    </w:pPr>
    <w:rPr>
      <w:i/>
      <w:iCs/>
      <w:color w:val="404040" w:themeColor="text1" w:themeTint="BF"/>
    </w:rPr>
  </w:style>
  <w:style w:type="character" w:customStyle="1" w:styleId="QuoteChar">
    <w:name w:val="Quote Char"/>
    <w:basedOn w:val="DefaultParagraphFont"/>
    <w:link w:val="Quote"/>
    <w:uiPriority w:val="29"/>
    <w:rsid w:val="00E6669D"/>
    <w:rPr>
      <w:i/>
      <w:iCs/>
      <w:color w:val="404040" w:themeColor="text1" w:themeTint="BF"/>
    </w:rPr>
  </w:style>
  <w:style w:type="paragraph" w:styleId="ListParagraph">
    <w:name w:val="List Paragraph"/>
    <w:basedOn w:val="Normal"/>
    <w:uiPriority w:val="34"/>
    <w:qFormat/>
    <w:rsid w:val="00E6669D"/>
    <w:pPr>
      <w:ind w:left="720"/>
      <w:contextualSpacing/>
    </w:pPr>
  </w:style>
  <w:style w:type="character" w:styleId="IntenseEmphasis">
    <w:name w:val="Intense Emphasis"/>
    <w:basedOn w:val="DefaultParagraphFont"/>
    <w:uiPriority w:val="21"/>
    <w:qFormat/>
    <w:rsid w:val="00E6669D"/>
    <w:rPr>
      <w:i/>
      <w:iCs/>
      <w:color w:val="0F4761" w:themeColor="accent1" w:themeShade="BF"/>
    </w:rPr>
  </w:style>
  <w:style w:type="paragraph" w:styleId="IntenseQuote">
    <w:name w:val="Intense Quote"/>
    <w:basedOn w:val="Normal"/>
    <w:next w:val="Normal"/>
    <w:link w:val="IntenseQuoteChar"/>
    <w:uiPriority w:val="30"/>
    <w:qFormat/>
    <w:rsid w:val="00E66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69D"/>
    <w:rPr>
      <w:i/>
      <w:iCs/>
      <w:color w:val="0F4761" w:themeColor="accent1" w:themeShade="BF"/>
    </w:rPr>
  </w:style>
  <w:style w:type="character" w:styleId="IntenseReference">
    <w:name w:val="Intense Reference"/>
    <w:basedOn w:val="DefaultParagraphFont"/>
    <w:uiPriority w:val="32"/>
    <w:qFormat/>
    <w:rsid w:val="00E6669D"/>
    <w:rPr>
      <w:b/>
      <w:bCs/>
      <w:smallCaps/>
      <w:color w:val="0F4761" w:themeColor="accent1" w:themeShade="BF"/>
      <w:spacing w:val="5"/>
    </w:rPr>
  </w:style>
  <w:style w:type="character" w:styleId="Hyperlink">
    <w:name w:val="Hyperlink"/>
    <w:basedOn w:val="DefaultParagraphFont"/>
    <w:uiPriority w:val="99"/>
    <w:unhideWhenUsed/>
    <w:rsid w:val="00C61770"/>
    <w:rPr>
      <w:color w:val="467886" w:themeColor="hyperlink"/>
      <w:u w:val="single"/>
    </w:rPr>
  </w:style>
  <w:style w:type="paragraph" w:styleId="TOCHeading">
    <w:name w:val="TOC Heading"/>
    <w:basedOn w:val="Heading1"/>
    <w:next w:val="Normal"/>
    <w:uiPriority w:val="39"/>
    <w:unhideWhenUsed/>
    <w:qFormat/>
    <w:rsid w:val="00C61770"/>
    <w:pPr>
      <w:spacing w:before="480" w:after="0" w:line="276" w:lineRule="auto"/>
      <w:jc w:val="left"/>
      <w:outlineLvl w:val="9"/>
    </w:pPr>
    <w:rPr>
      <w:b/>
      <w:bCs/>
      <w:kern w:val="0"/>
      <w:sz w:val="28"/>
      <w:szCs w:val="28"/>
      <w14:ligatures w14:val="none"/>
    </w:rPr>
  </w:style>
  <w:style w:type="paragraph" w:styleId="TOC2">
    <w:name w:val="toc 2"/>
    <w:basedOn w:val="Normal"/>
    <w:next w:val="Normal"/>
    <w:autoRedefine/>
    <w:uiPriority w:val="39"/>
    <w:unhideWhenUsed/>
    <w:rsid w:val="00C61770"/>
    <w:pPr>
      <w:tabs>
        <w:tab w:val="right" w:leader="dot" w:pos="9350"/>
      </w:tabs>
      <w:spacing w:before="120" w:after="0"/>
      <w:ind w:left="240"/>
      <w:jc w:val="left"/>
    </w:pPr>
    <w:rPr>
      <w:i/>
      <w:iCs/>
      <w:sz w:val="20"/>
      <w:szCs w:val="20"/>
    </w:rPr>
  </w:style>
  <w:style w:type="paragraph" w:styleId="TOC1">
    <w:name w:val="toc 1"/>
    <w:basedOn w:val="Normal"/>
    <w:next w:val="Normal"/>
    <w:autoRedefine/>
    <w:uiPriority w:val="39"/>
    <w:unhideWhenUsed/>
    <w:rsid w:val="00C61770"/>
    <w:pPr>
      <w:spacing w:before="240" w:after="120"/>
      <w:jc w:val="left"/>
    </w:pPr>
    <w:rPr>
      <w:b/>
      <w:bCs/>
      <w:sz w:val="20"/>
      <w:szCs w:val="20"/>
    </w:rPr>
  </w:style>
  <w:style w:type="paragraph" w:styleId="TOC3">
    <w:name w:val="toc 3"/>
    <w:basedOn w:val="Normal"/>
    <w:next w:val="Normal"/>
    <w:autoRedefine/>
    <w:uiPriority w:val="39"/>
    <w:semiHidden/>
    <w:unhideWhenUsed/>
    <w:rsid w:val="00C61770"/>
    <w:pPr>
      <w:spacing w:after="0"/>
      <w:ind w:left="480"/>
      <w:jc w:val="left"/>
    </w:pPr>
    <w:rPr>
      <w:sz w:val="20"/>
      <w:szCs w:val="20"/>
    </w:rPr>
  </w:style>
  <w:style w:type="paragraph" w:styleId="TOC4">
    <w:name w:val="toc 4"/>
    <w:basedOn w:val="Normal"/>
    <w:next w:val="Normal"/>
    <w:autoRedefine/>
    <w:uiPriority w:val="39"/>
    <w:semiHidden/>
    <w:unhideWhenUsed/>
    <w:rsid w:val="00C61770"/>
    <w:pPr>
      <w:spacing w:after="0"/>
      <w:ind w:left="720"/>
      <w:jc w:val="left"/>
    </w:pPr>
    <w:rPr>
      <w:sz w:val="20"/>
      <w:szCs w:val="20"/>
    </w:rPr>
  </w:style>
  <w:style w:type="paragraph" w:styleId="TOC5">
    <w:name w:val="toc 5"/>
    <w:basedOn w:val="Normal"/>
    <w:next w:val="Normal"/>
    <w:autoRedefine/>
    <w:uiPriority w:val="39"/>
    <w:semiHidden/>
    <w:unhideWhenUsed/>
    <w:rsid w:val="00C61770"/>
    <w:pPr>
      <w:spacing w:after="0"/>
      <w:ind w:left="960"/>
      <w:jc w:val="left"/>
    </w:pPr>
    <w:rPr>
      <w:sz w:val="20"/>
      <w:szCs w:val="20"/>
    </w:rPr>
  </w:style>
  <w:style w:type="paragraph" w:styleId="TOC6">
    <w:name w:val="toc 6"/>
    <w:basedOn w:val="Normal"/>
    <w:next w:val="Normal"/>
    <w:autoRedefine/>
    <w:uiPriority w:val="39"/>
    <w:semiHidden/>
    <w:unhideWhenUsed/>
    <w:rsid w:val="00C61770"/>
    <w:pPr>
      <w:spacing w:after="0"/>
      <w:ind w:left="1200"/>
      <w:jc w:val="left"/>
    </w:pPr>
    <w:rPr>
      <w:sz w:val="20"/>
      <w:szCs w:val="20"/>
    </w:rPr>
  </w:style>
  <w:style w:type="paragraph" w:styleId="TOC7">
    <w:name w:val="toc 7"/>
    <w:basedOn w:val="Normal"/>
    <w:next w:val="Normal"/>
    <w:autoRedefine/>
    <w:uiPriority w:val="39"/>
    <w:semiHidden/>
    <w:unhideWhenUsed/>
    <w:rsid w:val="00C61770"/>
    <w:pPr>
      <w:spacing w:after="0"/>
      <w:ind w:left="1440"/>
      <w:jc w:val="left"/>
    </w:pPr>
    <w:rPr>
      <w:sz w:val="20"/>
      <w:szCs w:val="20"/>
    </w:rPr>
  </w:style>
  <w:style w:type="paragraph" w:styleId="TOC8">
    <w:name w:val="toc 8"/>
    <w:basedOn w:val="Normal"/>
    <w:next w:val="Normal"/>
    <w:autoRedefine/>
    <w:uiPriority w:val="39"/>
    <w:semiHidden/>
    <w:unhideWhenUsed/>
    <w:rsid w:val="00C61770"/>
    <w:pPr>
      <w:spacing w:after="0"/>
      <w:ind w:left="1680"/>
      <w:jc w:val="left"/>
    </w:pPr>
    <w:rPr>
      <w:sz w:val="20"/>
      <w:szCs w:val="20"/>
    </w:rPr>
  </w:style>
  <w:style w:type="paragraph" w:styleId="TOC9">
    <w:name w:val="toc 9"/>
    <w:basedOn w:val="Normal"/>
    <w:next w:val="Normal"/>
    <w:autoRedefine/>
    <w:uiPriority w:val="39"/>
    <w:semiHidden/>
    <w:unhideWhenUsed/>
    <w:rsid w:val="00C61770"/>
    <w:pPr>
      <w:spacing w:after="0"/>
      <w:ind w:left="1920"/>
      <w:jc w:val="left"/>
    </w:pPr>
    <w:rPr>
      <w:sz w:val="20"/>
      <w:szCs w:val="20"/>
    </w:rPr>
  </w:style>
  <w:style w:type="paragraph" w:styleId="Header">
    <w:name w:val="header"/>
    <w:basedOn w:val="Normal"/>
    <w:link w:val="HeaderChar"/>
    <w:uiPriority w:val="99"/>
    <w:unhideWhenUsed/>
    <w:rsid w:val="00C61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770"/>
  </w:style>
  <w:style w:type="paragraph" w:styleId="Footer">
    <w:name w:val="footer"/>
    <w:basedOn w:val="Normal"/>
    <w:link w:val="FooterChar"/>
    <w:uiPriority w:val="99"/>
    <w:unhideWhenUsed/>
    <w:rsid w:val="00C61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770"/>
  </w:style>
  <w:style w:type="paragraph" w:styleId="NormalWeb">
    <w:name w:val="Normal (Web)"/>
    <w:basedOn w:val="Normal"/>
    <w:uiPriority w:val="99"/>
    <w:semiHidden/>
    <w:unhideWhenUsed/>
    <w:rsid w:val="00770FA2"/>
    <w:pPr>
      <w:spacing w:before="100" w:beforeAutospacing="1" w:after="100" w:afterAutospacing="1" w:line="240" w:lineRule="auto"/>
      <w:jc w:val="left"/>
    </w:pPr>
    <w:rPr>
      <w:rFonts w:ascii="Times New Roman" w:eastAsia="Times New Roman" w:hAnsi="Times New Roman" w:cs="Times New Roman"/>
      <w:kern w:val="0"/>
      <w:lang w:val="en-AU" w:eastAsia="en-GB"/>
      <w14:ligatures w14:val="none"/>
    </w:rPr>
  </w:style>
  <w:style w:type="character" w:styleId="UnresolvedMention">
    <w:name w:val="Unresolved Mention"/>
    <w:basedOn w:val="DefaultParagraphFont"/>
    <w:uiPriority w:val="99"/>
    <w:semiHidden/>
    <w:unhideWhenUsed/>
    <w:rsid w:val="00770FA2"/>
    <w:rPr>
      <w:color w:val="605E5C"/>
      <w:shd w:val="clear" w:color="auto" w:fill="E1DFDD"/>
    </w:rPr>
  </w:style>
  <w:style w:type="character" w:customStyle="1" w:styleId="apple-converted-space">
    <w:name w:val="apple-converted-space"/>
    <w:basedOn w:val="DefaultParagraphFont"/>
    <w:rsid w:val="00A23A9D"/>
  </w:style>
  <w:style w:type="character" w:customStyle="1" w:styleId="url">
    <w:name w:val="url"/>
    <w:basedOn w:val="DefaultParagraphFont"/>
    <w:rsid w:val="00A23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ver.data.vic.gov.au/dataset/victorian-state-schools-voluntary-parent-payments" TargetMode="External"/><Relationship Id="rId13" Type="http://schemas.openxmlformats.org/officeDocument/2006/relationships/image" Target="media/image5.png"/><Relationship Id="rId18" Type="http://schemas.openxmlformats.org/officeDocument/2006/relationships/hyperlink" Target="%20https:/doi.org/10.1111/bjet.13224" TargetMode="External"/><Relationship Id="rId26" Type="http://schemas.openxmlformats.org/officeDocument/2006/relationships/hyperlink" Target="https://doi.org/10.1145/3460418.3479338" TargetMode="External"/><Relationship Id="rId3" Type="http://schemas.openxmlformats.org/officeDocument/2006/relationships/styles" Target="styles.xml"/><Relationship Id="rId21" Type="http://schemas.openxmlformats.org/officeDocument/2006/relationships/hyperlink" Target="https://doi.org/10.1332/204080521X1641894825801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8235/0013561" TargetMode="External"/><Relationship Id="rId25" Type="http://schemas.openxmlformats.org/officeDocument/2006/relationships/hyperlink" Target="https://doi.org/10.1016/j.pirs.2024.10007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108/JEIM-08-2019-022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07/978-981-15-2537-7_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59298/ROJE/2024/43710"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i.org/10.1109/IC3I61595.2024.1082868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20https:/doi.org/10.1109/TKDE.2015.2427795"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C7DBD-99F6-2E41-921B-841B4D33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11</Pages>
  <Words>2880</Words>
  <Characters>18250</Characters>
  <Application>Microsoft Office Word</Application>
  <DocSecurity>0</DocSecurity>
  <Lines>324</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dc:creator>
  <cp:keywords/>
  <dc:description/>
  <cp:lastModifiedBy>Aayush Ketan Purohit</cp:lastModifiedBy>
  <cp:revision>31</cp:revision>
  <dcterms:created xsi:type="dcterms:W3CDTF">2025-09-23T06:21:00Z</dcterms:created>
  <dcterms:modified xsi:type="dcterms:W3CDTF">2025-09-28T08:20:00Z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12be2e38-f970-44ea-baa9-eeb6d0c904bb</vt:lpwstr>
  </property>
</Properties>
</file>