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22B61C" w14:textId="77777777" w:rsidR="0010700C" w:rsidRPr="007F6B35" w:rsidRDefault="0010700C">
      <w:pPr>
        <w:rPr>
          <w:rFonts w:ascii="Calibri" w:hAnsi="Calibri" w:cs="Calibri"/>
          <w:sz w:val="22"/>
          <w:szCs w:val="22"/>
        </w:rPr>
      </w:pPr>
      <w:r w:rsidRPr="007F6B35">
        <w:rPr>
          <w:rFonts w:ascii="Calibri" w:hAnsi="Calibri" w:cs="Calibri"/>
          <w:sz w:val="22"/>
          <w:szCs w:val="22"/>
        </w:rPr>
        <w:t>BGP Project Capstone – One Pager (Version 1.2)</w:t>
      </w:r>
    </w:p>
    <w:p w14:paraId="21B14E34" w14:textId="77777777" w:rsidR="0010700C" w:rsidRPr="007F6B35" w:rsidRDefault="0010700C">
      <w:pPr>
        <w:rPr>
          <w:rFonts w:ascii="Calibri" w:hAnsi="Calibri" w:cs="Calibri"/>
          <w:b/>
          <w:bCs/>
          <w:sz w:val="22"/>
          <w:szCs w:val="22"/>
        </w:rPr>
      </w:pPr>
      <w:r w:rsidRPr="007F6B35">
        <w:rPr>
          <w:rFonts w:ascii="Calibri" w:hAnsi="Calibri" w:cs="Calibri"/>
          <w:b/>
          <w:bCs/>
          <w:sz w:val="22"/>
          <w:szCs w:val="22"/>
        </w:rPr>
        <w:t>Objective</w:t>
      </w:r>
    </w:p>
    <w:p w14:paraId="2A11E84D" w14:textId="77777777" w:rsidR="0010700C" w:rsidRPr="007F6B35" w:rsidRDefault="0010700C">
      <w:pPr>
        <w:rPr>
          <w:rFonts w:ascii="Calibri" w:hAnsi="Calibri" w:cs="Calibri"/>
          <w:sz w:val="22"/>
          <w:szCs w:val="22"/>
        </w:rPr>
      </w:pPr>
      <w:r w:rsidRPr="007F6B35">
        <w:rPr>
          <w:rFonts w:ascii="Calibri" w:hAnsi="Calibri" w:cs="Calibri"/>
          <w:sz w:val="22"/>
          <w:szCs w:val="22"/>
        </w:rPr>
        <w:t>Our company, XFT, is incorporating Border Gateway Protocol (BGP) into its sites. BGP will run between the company's sites and its partners to exchange the prefixes that meet the business needs of the company and its partners.</w:t>
      </w:r>
    </w:p>
    <w:p w14:paraId="0C09896C" w14:textId="77777777" w:rsidR="0010700C" w:rsidRPr="007F6B35" w:rsidRDefault="0010700C">
      <w:pPr>
        <w:rPr>
          <w:rFonts w:ascii="Calibri" w:hAnsi="Calibri" w:cs="Calibri"/>
          <w:sz w:val="22"/>
          <w:szCs w:val="22"/>
        </w:rPr>
      </w:pPr>
    </w:p>
    <w:p w14:paraId="64E9B798" w14:textId="77777777" w:rsidR="0010700C" w:rsidRPr="007F6B35" w:rsidRDefault="0010700C">
      <w:pPr>
        <w:rPr>
          <w:rFonts w:ascii="Calibri" w:hAnsi="Calibri" w:cs="Calibri"/>
          <w:b/>
          <w:bCs/>
          <w:sz w:val="22"/>
          <w:szCs w:val="22"/>
        </w:rPr>
      </w:pPr>
      <w:r w:rsidRPr="007F6B35">
        <w:rPr>
          <w:rFonts w:ascii="Calibri" w:hAnsi="Calibri" w:cs="Calibri"/>
          <w:b/>
          <w:bCs/>
          <w:sz w:val="22"/>
          <w:szCs w:val="22"/>
        </w:rPr>
        <w:t>Architecture</w:t>
      </w:r>
      <w:r w:rsidR="000A797C" w:rsidRPr="007F6B35">
        <w:rPr>
          <w:rFonts w:ascii="Calibri" w:hAnsi="Calibri" w:cs="Calibri"/>
          <w:b/>
          <w:bCs/>
          <w:sz w:val="22"/>
          <w:szCs w:val="22"/>
        </w:rPr>
        <w:t xml:space="preserve"> – version 1.2</w:t>
      </w:r>
    </w:p>
    <w:p w14:paraId="7535275E" w14:textId="77777777" w:rsidR="0010700C" w:rsidRPr="007F6B35" w:rsidRDefault="000A797C">
      <w:pPr>
        <w:rPr>
          <w:rFonts w:ascii="Calibri" w:hAnsi="Calibri" w:cs="Calibri"/>
          <w:sz w:val="22"/>
          <w:szCs w:val="22"/>
        </w:rPr>
      </w:pPr>
      <w:r w:rsidRPr="007F6B35">
        <w:rPr>
          <w:rFonts w:ascii="Calibri" w:hAnsi="Calibri" w:cs="Calibri"/>
          <w:sz w:val="22"/>
          <w:szCs w:val="22"/>
        </w:rPr>
        <w:t>We currently have three branches: California (CA), Texas (TX), and New York (NY).</w:t>
      </w:r>
    </w:p>
    <w:p w14:paraId="13344999" w14:textId="77777777" w:rsidR="000A797C" w:rsidRPr="007F6B35" w:rsidRDefault="000A797C">
      <w:pPr>
        <w:rPr>
          <w:rFonts w:ascii="Calibri" w:hAnsi="Calibri" w:cs="Calibri"/>
          <w:sz w:val="22"/>
          <w:szCs w:val="22"/>
        </w:rPr>
      </w:pPr>
      <w:r w:rsidRPr="007F6B35">
        <w:rPr>
          <w:rFonts w:ascii="Calibri" w:hAnsi="Calibri" w:cs="Calibri"/>
          <w:sz w:val="22"/>
          <w:szCs w:val="22"/>
        </w:rPr>
        <w:t>California remains the headquarters.</w:t>
      </w:r>
    </w:p>
    <w:p w14:paraId="57F81D37" w14:textId="77777777" w:rsidR="000A797C" w:rsidRPr="007F6B35" w:rsidRDefault="000A797C">
      <w:pPr>
        <w:rPr>
          <w:rFonts w:ascii="Calibri" w:hAnsi="Calibri" w:cs="Calibri"/>
          <w:sz w:val="22"/>
          <w:szCs w:val="22"/>
        </w:rPr>
      </w:pPr>
      <w:r w:rsidRPr="007F6B35">
        <w:rPr>
          <w:rFonts w:ascii="Calibri" w:hAnsi="Calibri" w:cs="Calibri"/>
          <w:sz w:val="22"/>
          <w:szCs w:val="22"/>
        </w:rPr>
        <w:t>In the south, we have three partner companies: A (AS 65001), B (AS 65002), and C (AS 65003).</w:t>
      </w:r>
    </w:p>
    <w:p w14:paraId="6485AE61" w14:textId="77777777" w:rsidR="000A797C" w:rsidRPr="007F6B35" w:rsidRDefault="000A797C">
      <w:pPr>
        <w:rPr>
          <w:rFonts w:ascii="Calibri" w:hAnsi="Calibri" w:cs="Calibri"/>
          <w:sz w:val="22"/>
          <w:szCs w:val="22"/>
        </w:rPr>
      </w:pPr>
      <w:r w:rsidRPr="007F6B35">
        <w:rPr>
          <w:rFonts w:ascii="Calibri" w:hAnsi="Calibri" w:cs="Calibri"/>
          <w:sz w:val="22"/>
          <w:szCs w:val="22"/>
        </w:rPr>
        <w:t>In the north, we have three partner companies: X (AS 65010), Y (AS 65011), and Z (AS 65012).</w:t>
      </w:r>
    </w:p>
    <w:p>
      <w:pPr>
        <w:rPr>
          <w:rFonts w:ascii="Calibri" w:hAnsi="Calibri" w:cs="Calibri"/>
          <w:sz w:val="22"/>
          <w:szCs w:val="22"/>
        </w:rPr>
      </w:pPr>
      <w:r>
        <w:rPr>
          <w:rFonts w:ascii="Calibri" w:hAnsi="Calibri" w:cs="Calibri"/>
          <w:sz w:val="22"/>
          <w:szCs w:val="22"/>
        </w:rPr>
        <w:t xml:space="preserve">XFT runs as a single autonomous system, AS 65000, with an OSPF area 0 backbone across all three sites and a full iBGP mesh between the CA, TX, and NY border routers (the CA–NY session rides through TX; there is no direct CA–NY link). No eBGP yet — partner peering arrives in version 2.</w:t>
      </w:r>
    </w:p>
    <w:p>
      <w:pPr>
        <w:rPr>
          <w:rFonts w:ascii="Calibri" w:hAnsi="Calibri" w:cs="Calibri"/>
          <w:b/>
          <w:bCs/>
          <w:sz w:val="22"/>
          <w:szCs w:val="22"/>
        </w:rPr>
      </w:pPr>
      <w:r>
        <w:rPr>
          <w:rFonts w:ascii="Calibri" w:hAnsi="Calibri" w:cs="Calibri"/>
          <w:b/>
          <w:bCs/>
          <w:sz w:val="22"/>
          <w:szCs w:val="22"/>
        </w:rPr>
        <w:t xml:space="preserve">Design notes (v1.2)</w:t>
      </w:r>
    </w:p>
    <w:p>
      <w:pPr>
        <w:rPr>
          <w:rFonts w:ascii="Calibri" w:hAnsi="Calibri" w:cs="Calibri"/>
          <w:sz w:val="22"/>
          <w:szCs w:val="22"/>
        </w:rPr>
      </w:pPr>
      <w:r>
        <w:rPr>
          <w:rFonts w:ascii="Calibri" w:hAnsi="Calibri" w:cs="Calibri"/>
          <w:sz w:val="22"/>
          <w:szCs w:val="22"/>
        </w:rPr>
        <w:t xml:space="preserve">Partner C is assigned AS 65003, continuing the south block (65001–65003).</w:t>
      </w:r>
    </w:p>
    <w:p>
      <w:pPr>
        <w:rPr>
          <w:rFonts w:ascii="Calibri" w:hAnsi="Calibri" w:cs="Calibri"/>
          <w:sz w:val="22"/>
          <w:szCs w:val="22"/>
        </w:rPr>
      </w:pPr>
      <w:r>
        <w:rPr>
          <w:rFonts w:ascii="Calibri" w:hAnsi="Calibri" w:cs="Calibri"/>
          <w:sz w:val="22"/>
          <w:szCs w:val="22"/>
        </w:rPr>
        <w:t xml:space="preserve">TX is an accepted single point of failure: it is the only physical path between CA and NY, and the CA–NY iBGP session transits it. Accepted for v1; revisit when a CA–NY link is priced.</w:t>
      </w:r>
    </w:p>
    <w:p>
      <w:pPr>
        <w:rPr>
          <w:rFonts w:ascii="Calibri" w:hAnsi="Calibri" w:cs="Calibri"/>
          <w:sz w:val="22"/>
          <w:szCs w:val="22"/>
        </w:rPr>
      </w:pPr>
      <w:r>
        <w:rPr>
          <w:rFonts w:ascii="Calibri" w:hAnsi="Calibri" w:cs="Calibri"/>
          <w:sz w:val="22"/>
          <w:szCs w:val="22"/>
        </w:rPr>
        <w:t xml:space="preserve">OSPF area 1 (Texas) internals — including which router originates the default route into it — are deferred to a later version.</w:t>
      </w:r>
    </w:p>
    <w:p w14:paraId="777FB28D" w14:textId="77777777" w:rsidR="000A797C" w:rsidRPr="007F6B35" w:rsidRDefault="000A797C">
      <w:pPr>
        <w:jc w:val="center"/>
        <w:rPr>
          <w:rFonts w:ascii="Calibri" w:hAnsi="Calibri" w:cs="Calibri"/>
          <w:sz w:val="22"/>
          <w:szCs w:val="22"/>
        </w:rPr>
      </w:pPr>
      <w:r w:rsidRPr="007F6B35">
        <w:rPr>
          <w:rFonts w:ascii="Calibri" w:hAnsi="Calibri" w:cs="Calibri"/>
          <w:noProof/>
          <w:sz w:val="22"/>
          <w:szCs w:val="22"/>
        </w:rPr>
        <w:lastRenderedPageBreak/>
        <w:drawing>
          <wp:inline distT="0" distB="0" distL="0" distR="0" wp14:anchorId="6C782466" wp14:editId="51D2F37C">
            <wp:extent cx="5936917" cy="63678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11.png"/>
                    <pic:cNvPicPr/>
                  </pic:nvPicPr>
                  <pic:blipFill>
                    <a:blip r:embed="rId4"/>
                    <a:stretch>
                      <a:fillRect/>
                    </a:stretch>
                  </pic:blipFill>
                  <pic:spPr>
                    <a:xfrm>
                      <a:off x="0" y="0"/>
                      <a:ext cx="5964160" cy="6397042"/>
                    </a:xfrm>
                    <a:prstGeom prst="rect">
                      <a:avLst/>
                    </a:prstGeom>
                  </pic:spPr>
                </pic:pic>
              </a:graphicData>
            </a:graphic>
          </wp:inline>
        </w:drawing>
      </w:r>
    </w:p>
    <w:p w14:paraId="78F1B9F7" w14:textId="77777777" w:rsidR="000A797C" w:rsidRPr="007F6B35" w:rsidRDefault="000A797C">
      <w:pPr>
        <w:jc w:val="center"/>
        <w:rPr>
          <w:rFonts w:ascii="Calibri" w:hAnsi="Calibri" w:cs="Calibri"/>
          <w:sz w:val="22"/>
          <w:szCs w:val="22"/>
        </w:rPr>
      </w:pPr>
      <w:r w:rsidRPr="007F6B35">
        <w:rPr>
          <w:rFonts w:ascii="Calibri" w:hAnsi="Calibri" w:cs="Calibri"/>
          <w:i/>
          <w:sz w:val="22"/>
          <w:szCs w:val="22"/>
        </w:rPr>
        <w:t>Figure 1: XFT topology v1.2</w:t>
      </w:r>
    </w:p>
    <w:sectPr w:rsidR="000A797C" w:rsidRPr="007F6B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0C"/>
    <w:rsid w:val="000A797C"/>
    <w:rsid w:val="000B1D1E"/>
    <w:rsid w:val="0010700C"/>
    <w:rsid w:val="00144DDB"/>
    <w:rsid w:val="004142F8"/>
    <w:rsid w:val="004C0503"/>
    <w:rsid w:val="007F6B35"/>
    <w:rsid w:val="00C95120"/>
    <w:rsid w:val="00FF0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3B97A"/>
  <w15:chartTrackingRefBased/>
  <w15:docId w15:val="{9BE019CF-11C8-A048-B426-ED29AF05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0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70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70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0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0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0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0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0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0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0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00C"/>
    <w:rPr>
      <w:rFonts w:eastAsiaTheme="majorEastAsia" w:cstheme="majorBidi"/>
      <w:color w:val="272727" w:themeColor="text1" w:themeTint="D8"/>
    </w:rPr>
  </w:style>
  <w:style w:type="paragraph" w:styleId="Title">
    <w:name w:val="Title"/>
    <w:basedOn w:val="Normal"/>
    <w:next w:val="Normal"/>
    <w:link w:val="TitleChar"/>
    <w:uiPriority w:val="10"/>
    <w:qFormat/>
    <w:rsid w:val="00107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00C"/>
    <w:pPr>
      <w:spacing w:before="160"/>
      <w:jc w:val="center"/>
    </w:pPr>
    <w:rPr>
      <w:i/>
      <w:iCs/>
      <w:color w:val="404040" w:themeColor="text1" w:themeTint="BF"/>
    </w:rPr>
  </w:style>
  <w:style w:type="character" w:customStyle="1" w:styleId="QuoteChar">
    <w:name w:val="Quote Char"/>
    <w:basedOn w:val="DefaultParagraphFont"/>
    <w:link w:val="Quote"/>
    <w:uiPriority w:val="29"/>
    <w:rsid w:val="0010700C"/>
    <w:rPr>
      <w:i/>
      <w:iCs/>
      <w:color w:val="404040" w:themeColor="text1" w:themeTint="BF"/>
    </w:rPr>
  </w:style>
  <w:style w:type="paragraph" w:styleId="ListParagraph">
    <w:name w:val="List Paragraph"/>
    <w:basedOn w:val="Normal"/>
    <w:uiPriority w:val="34"/>
    <w:qFormat/>
    <w:rsid w:val="0010700C"/>
    <w:pPr>
      <w:ind w:left="720"/>
      <w:contextualSpacing/>
    </w:pPr>
  </w:style>
  <w:style w:type="character" w:styleId="IntenseEmphasis">
    <w:name w:val="Intense Emphasis"/>
    <w:basedOn w:val="DefaultParagraphFont"/>
    <w:uiPriority w:val="21"/>
    <w:qFormat/>
    <w:rsid w:val="0010700C"/>
    <w:rPr>
      <w:i/>
      <w:iCs/>
      <w:color w:val="0F4761" w:themeColor="accent1" w:themeShade="BF"/>
    </w:rPr>
  </w:style>
  <w:style w:type="paragraph" w:styleId="IntenseQuote">
    <w:name w:val="Intense Quote"/>
    <w:basedOn w:val="Normal"/>
    <w:next w:val="Normal"/>
    <w:link w:val="IntenseQuoteChar"/>
    <w:uiPriority w:val="30"/>
    <w:qFormat/>
    <w:rsid w:val="00107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00C"/>
    <w:rPr>
      <w:i/>
      <w:iCs/>
      <w:color w:val="0F4761" w:themeColor="accent1" w:themeShade="BF"/>
    </w:rPr>
  </w:style>
  <w:style w:type="character" w:styleId="IntenseReference">
    <w:name w:val="Intense Reference"/>
    <w:basedOn w:val="DefaultParagraphFont"/>
    <w:uiPriority w:val="32"/>
    <w:qFormat/>
    <w:rsid w:val="001070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85</Words>
  <Characters>489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Thapaliya, Aayush</dc:creator>
  <cp:keywords/>
  <dc:description/>
  <cp:lastModifiedBy>Thapaliya, Aayush</cp:lastModifiedBy>
  <cp:revision>2</cp:revision>
  <dcterms:created xsi:type="dcterms:W3CDTF">2026-10-30T21:18:00Z</dcterms:created>
  <dcterms:modified xsi:type="dcterms:W3CDTF">2026-10-31T05:37:00Z</dcterms:modified>
</cp:coreProperties>
</file>