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ACE56" w14:textId="4E811183" w:rsidR="00385008" w:rsidRDefault="3EF32C5E" w:rsidP="6D4E7083">
      <w:pPr>
        <w:pStyle w:val="Heading1"/>
        <w:spacing w:before="322" w:after="322"/>
      </w:pPr>
      <w:r w:rsidRPr="6D4E7083">
        <w:rPr>
          <w:rFonts w:ascii="Aptos Display" w:eastAsia="Aptos Display" w:hAnsi="Aptos Display" w:cs="Aptos Display"/>
          <w:b/>
          <w:bCs/>
          <w:sz w:val="48"/>
          <w:szCs w:val="48"/>
        </w:rPr>
        <w:t>Electronics Documentation</w:t>
      </w:r>
    </w:p>
    <w:p w14:paraId="1353C45D" w14:textId="439B511E" w:rsidR="00385008" w:rsidRDefault="3EF32C5E" w:rsidP="6D4E7083">
      <w:pPr>
        <w:pStyle w:val="Heading3"/>
        <w:spacing w:before="281" w:after="281"/>
      </w:pPr>
      <w:r w:rsidRPr="6D4E7083">
        <w:rPr>
          <w:rFonts w:ascii="Aptos Display" w:eastAsia="Aptos Display" w:hAnsi="Aptos Display" w:cs="Aptos Display"/>
          <w:b/>
          <w:bCs/>
        </w:rPr>
        <w:t>1. Electronics Block Diagram</w:t>
      </w:r>
    </w:p>
    <w:p w14:paraId="484C976D" w14:textId="642DFC0C" w:rsidR="00385008" w:rsidRDefault="005B6585">
      <w:r w:rsidRPr="005B6585">
        <w:drawing>
          <wp:inline distT="0" distB="0" distL="0" distR="0" wp14:anchorId="532B38F1" wp14:editId="1AD467CD">
            <wp:extent cx="5943600" cy="5907405"/>
            <wp:effectExtent l="0" t="0" r="0" b="0"/>
            <wp:docPr id="185942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292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E08C" w14:textId="5EB3EAF2" w:rsidR="00385008" w:rsidRDefault="3EF32C5E" w:rsidP="6D4E7083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  <w:r w:rsidRPr="6D4E7083">
        <w:rPr>
          <w:rFonts w:ascii="Aptos Display" w:eastAsia="Aptos Display" w:hAnsi="Aptos Display" w:cs="Aptos Display"/>
          <w:b/>
          <w:bCs/>
        </w:rPr>
        <w:lastRenderedPageBreak/>
        <w:t>2. Components Table</w:t>
      </w:r>
    </w:p>
    <w:tbl>
      <w:tblPr>
        <w:tblW w:w="11483" w:type="dxa"/>
        <w:tblCellSpacing w:w="15" w:type="dxa"/>
        <w:tblInd w:w="-9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992"/>
        <w:gridCol w:w="2552"/>
        <w:gridCol w:w="5670"/>
      </w:tblGrid>
      <w:tr w:rsidR="005B6585" w:rsidRPr="005B6585" w14:paraId="101D8C24" w14:textId="77777777" w:rsidTr="005B6585">
        <w:trPr>
          <w:tblHeader/>
          <w:tblCellSpacing w:w="15" w:type="dxa"/>
        </w:trPr>
        <w:tc>
          <w:tcPr>
            <w:tcW w:w="2224" w:type="dxa"/>
            <w:vAlign w:val="center"/>
            <w:hideMark/>
          </w:tcPr>
          <w:p w14:paraId="3E029EBF" w14:textId="77777777" w:rsidR="005B6585" w:rsidRPr="005B6585" w:rsidRDefault="005B6585" w:rsidP="005B65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b/>
                <w:bCs/>
                <w:lang w:val="en-IN" w:eastAsia="en-GB"/>
              </w:rPr>
              <w:t>Component</w:t>
            </w:r>
          </w:p>
        </w:tc>
        <w:tc>
          <w:tcPr>
            <w:tcW w:w="962" w:type="dxa"/>
            <w:vAlign w:val="center"/>
            <w:hideMark/>
          </w:tcPr>
          <w:p w14:paraId="0590CF1F" w14:textId="77777777" w:rsidR="005B6585" w:rsidRPr="005B6585" w:rsidRDefault="005B6585" w:rsidP="005B65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b/>
                <w:bCs/>
                <w:lang w:val="en-IN" w:eastAsia="en-GB"/>
              </w:rPr>
              <w:t>Quantity</w:t>
            </w:r>
          </w:p>
        </w:tc>
        <w:tc>
          <w:tcPr>
            <w:tcW w:w="2522" w:type="dxa"/>
            <w:vAlign w:val="center"/>
            <w:hideMark/>
          </w:tcPr>
          <w:p w14:paraId="1F66818D" w14:textId="77777777" w:rsidR="005B6585" w:rsidRPr="005B6585" w:rsidRDefault="005B6585" w:rsidP="005B65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b/>
                <w:bCs/>
                <w:lang w:val="en-IN" w:eastAsia="en-GB"/>
              </w:rPr>
              <w:t>Purpose</w:t>
            </w:r>
          </w:p>
        </w:tc>
        <w:tc>
          <w:tcPr>
            <w:tcW w:w="5625" w:type="dxa"/>
            <w:vAlign w:val="center"/>
            <w:hideMark/>
          </w:tcPr>
          <w:p w14:paraId="3A84B4EC" w14:textId="77777777" w:rsidR="005B6585" w:rsidRPr="005B6585" w:rsidRDefault="005B6585" w:rsidP="005B65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b/>
                <w:bCs/>
                <w:lang w:val="en-IN" w:eastAsia="en-GB"/>
              </w:rPr>
              <w:t>Justification</w:t>
            </w:r>
          </w:p>
        </w:tc>
      </w:tr>
      <w:tr w:rsidR="005B6585" w:rsidRPr="005B6585" w14:paraId="55A5195E" w14:textId="77777777" w:rsidTr="005B6585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589602B7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IN" w:eastAsia="en-GB"/>
              </w:rPr>
              <w:t>ESP32</w:t>
            </w:r>
          </w:p>
        </w:tc>
        <w:tc>
          <w:tcPr>
            <w:tcW w:w="962" w:type="dxa"/>
            <w:vAlign w:val="center"/>
            <w:hideMark/>
          </w:tcPr>
          <w:p w14:paraId="0DF304D2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1</w:t>
            </w:r>
          </w:p>
        </w:tc>
        <w:tc>
          <w:tcPr>
            <w:tcW w:w="2522" w:type="dxa"/>
            <w:vAlign w:val="center"/>
            <w:hideMark/>
          </w:tcPr>
          <w:p w14:paraId="3F0C93B4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Main controller for the system</w:t>
            </w:r>
          </w:p>
        </w:tc>
        <w:tc>
          <w:tcPr>
            <w:tcW w:w="5625" w:type="dxa"/>
            <w:vAlign w:val="center"/>
            <w:hideMark/>
          </w:tcPr>
          <w:p w14:paraId="608B28B2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 xml:space="preserve">Chosen because it supports </w:t>
            </w:r>
            <w:r w:rsidRPr="005B65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IN" w:eastAsia="en-GB"/>
              </w:rPr>
              <w:t>Bluetooth (BLE)</w:t>
            </w: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 xml:space="preserve">, has sufficient processing power for real-time data handling, and works well with </w:t>
            </w:r>
            <w:proofErr w:type="spellStart"/>
            <w:r w:rsidRPr="005B65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IN" w:eastAsia="en-GB"/>
              </w:rPr>
              <w:t>MicroPython</w:t>
            </w:r>
            <w:proofErr w:type="spellEnd"/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. It allows integration of sensors, display, and wireless communication in one device.</w:t>
            </w:r>
          </w:p>
        </w:tc>
      </w:tr>
      <w:tr w:rsidR="005B6585" w:rsidRPr="005B6585" w14:paraId="7C6B03DC" w14:textId="77777777" w:rsidTr="005B6585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39CB09C9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IN" w:eastAsia="en-GB"/>
              </w:rPr>
              <w:t>MAX30102 Sensor</w:t>
            </w:r>
          </w:p>
        </w:tc>
        <w:tc>
          <w:tcPr>
            <w:tcW w:w="962" w:type="dxa"/>
            <w:vAlign w:val="center"/>
            <w:hideMark/>
          </w:tcPr>
          <w:p w14:paraId="3D43274E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1</w:t>
            </w:r>
          </w:p>
        </w:tc>
        <w:tc>
          <w:tcPr>
            <w:tcW w:w="2522" w:type="dxa"/>
            <w:vAlign w:val="center"/>
            <w:hideMark/>
          </w:tcPr>
          <w:p w14:paraId="5447B985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Measures heart rate, pulse amplitude, and IR/Red signals</w:t>
            </w:r>
          </w:p>
        </w:tc>
        <w:tc>
          <w:tcPr>
            <w:tcW w:w="5625" w:type="dxa"/>
            <w:vAlign w:val="center"/>
            <w:hideMark/>
          </w:tcPr>
          <w:p w14:paraId="5EA50984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 xml:space="preserve">Used to detect </w:t>
            </w:r>
            <w:r w:rsidRPr="005B65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IN" w:eastAsia="en-GB"/>
              </w:rPr>
              <w:t>cardiovascular changes under stress</w:t>
            </w: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. It provides multiple physiological parameters (BPM, HRV, amplitude), making it more effective than a simple heart-rate sensor.</w:t>
            </w:r>
          </w:p>
        </w:tc>
      </w:tr>
      <w:tr w:rsidR="005B6585" w:rsidRPr="005B6585" w14:paraId="31C81AA3" w14:textId="77777777" w:rsidTr="005B6585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3080193E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IN" w:eastAsia="en-GB"/>
              </w:rPr>
              <w:t>GSR Sensor</w:t>
            </w:r>
          </w:p>
        </w:tc>
        <w:tc>
          <w:tcPr>
            <w:tcW w:w="962" w:type="dxa"/>
            <w:vAlign w:val="center"/>
            <w:hideMark/>
          </w:tcPr>
          <w:p w14:paraId="3D551ED7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1</w:t>
            </w:r>
          </w:p>
        </w:tc>
        <w:tc>
          <w:tcPr>
            <w:tcW w:w="2522" w:type="dxa"/>
            <w:vAlign w:val="center"/>
            <w:hideMark/>
          </w:tcPr>
          <w:p w14:paraId="058CE43E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Measures skin conductivity (sweat response)</w:t>
            </w:r>
          </w:p>
        </w:tc>
        <w:tc>
          <w:tcPr>
            <w:tcW w:w="5625" w:type="dxa"/>
            <w:vAlign w:val="center"/>
            <w:hideMark/>
          </w:tcPr>
          <w:p w14:paraId="091CD29A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 xml:space="preserve">GSR is a key indicator of </w:t>
            </w:r>
            <w:r w:rsidRPr="005B65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IN" w:eastAsia="en-GB"/>
              </w:rPr>
              <w:t>emotional arousal and stress</w:t>
            </w: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, widely used in polygraph systems. It complements heart-rate data for better stress estimation.</w:t>
            </w:r>
          </w:p>
        </w:tc>
      </w:tr>
      <w:tr w:rsidR="005B6585" w:rsidRPr="005B6585" w14:paraId="6CE98B7B" w14:textId="77777777" w:rsidTr="005B6585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64B2BDFF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IN" w:eastAsia="en-GB"/>
              </w:rPr>
              <w:t>SH1106 OLED Display (128×64)</w:t>
            </w:r>
          </w:p>
        </w:tc>
        <w:tc>
          <w:tcPr>
            <w:tcW w:w="962" w:type="dxa"/>
            <w:vAlign w:val="center"/>
            <w:hideMark/>
          </w:tcPr>
          <w:p w14:paraId="382FD739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1</w:t>
            </w:r>
          </w:p>
        </w:tc>
        <w:tc>
          <w:tcPr>
            <w:tcW w:w="2522" w:type="dxa"/>
            <w:vAlign w:val="center"/>
            <w:hideMark/>
          </w:tcPr>
          <w:p w14:paraId="1E607BA7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Displays live data, waveform, prompts, and results</w:t>
            </w:r>
          </w:p>
        </w:tc>
        <w:tc>
          <w:tcPr>
            <w:tcW w:w="5625" w:type="dxa"/>
            <w:vAlign w:val="center"/>
            <w:hideMark/>
          </w:tcPr>
          <w:p w14:paraId="76747641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 xml:space="preserve">Provides </w:t>
            </w:r>
            <w:r w:rsidRPr="005B65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IN" w:eastAsia="en-GB"/>
              </w:rPr>
              <w:t>real-time visual feedback</w:t>
            </w: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 xml:space="preserve"> directly on the device. Chosen for its compact size, clarity, and low power consumption, making it suitable for wearable use.</w:t>
            </w:r>
          </w:p>
        </w:tc>
      </w:tr>
      <w:tr w:rsidR="005B6585" w:rsidRPr="005B6585" w14:paraId="1BF4DF77" w14:textId="77777777" w:rsidTr="005B6585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5698CEDD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IN" w:eastAsia="en-GB"/>
              </w:rPr>
              <w:t>Bluetooth Low Energy (BLE)</w:t>
            </w:r>
          </w:p>
        </w:tc>
        <w:tc>
          <w:tcPr>
            <w:tcW w:w="962" w:type="dxa"/>
            <w:vAlign w:val="center"/>
            <w:hideMark/>
          </w:tcPr>
          <w:p w14:paraId="3F44E4C1" w14:textId="27F11C0E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</w:p>
        </w:tc>
        <w:tc>
          <w:tcPr>
            <w:tcW w:w="2522" w:type="dxa"/>
            <w:vAlign w:val="center"/>
            <w:hideMark/>
          </w:tcPr>
          <w:p w14:paraId="51088C3D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Sends data to mobile app</w:t>
            </w:r>
          </w:p>
        </w:tc>
        <w:tc>
          <w:tcPr>
            <w:tcW w:w="5625" w:type="dxa"/>
            <w:vAlign w:val="center"/>
            <w:hideMark/>
          </w:tcPr>
          <w:p w14:paraId="4FF8EEFA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 xml:space="preserve">Enables </w:t>
            </w:r>
            <w:r w:rsidRPr="005B65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IN" w:eastAsia="en-GB"/>
              </w:rPr>
              <w:t>wireless communication</w:t>
            </w: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 xml:space="preserve"> with the phone. BLE is low power and ideal for wearable devices. Used to send live values and logs.</w:t>
            </w:r>
          </w:p>
        </w:tc>
      </w:tr>
      <w:tr w:rsidR="005B6585" w:rsidRPr="005B6585" w14:paraId="0CF27D7F" w14:textId="77777777" w:rsidTr="005B6585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1C2D8843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IN" w:eastAsia="en-GB"/>
              </w:rPr>
              <w:t>MIT App Inventor Mobile App</w:t>
            </w:r>
          </w:p>
        </w:tc>
        <w:tc>
          <w:tcPr>
            <w:tcW w:w="962" w:type="dxa"/>
            <w:vAlign w:val="center"/>
            <w:hideMark/>
          </w:tcPr>
          <w:p w14:paraId="19D13661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1</w:t>
            </w:r>
          </w:p>
        </w:tc>
        <w:tc>
          <w:tcPr>
            <w:tcW w:w="2522" w:type="dxa"/>
            <w:vAlign w:val="center"/>
            <w:hideMark/>
          </w:tcPr>
          <w:p w14:paraId="0A1FD805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Displays and logs data from the device</w:t>
            </w:r>
          </w:p>
        </w:tc>
        <w:tc>
          <w:tcPr>
            <w:tcW w:w="5625" w:type="dxa"/>
            <w:vAlign w:val="center"/>
            <w:hideMark/>
          </w:tcPr>
          <w:p w14:paraId="02AEF4D0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 xml:space="preserve">Provides a simple interface for </w:t>
            </w:r>
            <w:r w:rsidRPr="005B65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IN" w:eastAsia="en-GB"/>
              </w:rPr>
              <w:t>real-time monitoring and logging</w:t>
            </w: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 xml:space="preserve"> without requiring complex app development.</w:t>
            </w:r>
          </w:p>
        </w:tc>
      </w:tr>
      <w:tr w:rsidR="005B6585" w:rsidRPr="005B6585" w14:paraId="1A1782B4" w14:textId="77777777" w:rsidTr="005B6585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4DC531E0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IN" w:eastAsia="en-GB"/>
              </w:rPr>
              <w:t>Breadboard</w:t>
            </w:r>
          </w:p>
        </w:tc>
        <w:tc>
          <w:tcPr>
            <w:tcW w:w="962" w:type="dxa"/>
            <w:vAlign w:val="center"/>
            <w:hideMark/>
          </w:tcPr>
          <w:p w14:paraId="21174CD0" w14:textId="2D165EEA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2</w:t>
            </w:r>
          </w:p>
        </w:tc>
        <w:tc>
          <w:tcPr>
            <w:tcW w:w="2522" w:type="dxa"/>
            <w:vAlign w:val="center"/>
            <w:hideMark/>
          </w:tcPr>
          <w:p w14:paraId="15EA8814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Prototyping and circuit connections</w:t>
            </w:r>
          </w:p>
        </w:tc>
        <w:tc>
          <w:tcPr>
            <w:tcW w:w="5625" w:type="dxa"/>
            <w:vAlign w:val="center"/>
            <w:hideMark/>
          </w:tcPr>
          <w:p w14:paraId="617329CD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Used for easy assembly and testing. Allows quick changes during debugging and integration.</w:t>
            </w:r>
          </w:p>
        </w:tc>
      </w:tr>
      <w:tr w:rsidR="005B6585" w:rsidRPr="005B6585" w14:paraId="25CBE3D9" w14:textId="77777777" w:rsidTr="005B6585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12FDF614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IN" w:eastAsia="en-GB"/>
              </w:rPr>
              <w:t>Jumper Wires</w:t>
            </w:r>
          </w:p>
        </w:tc>
        <w:tc>
          <w:tcPr>
            <w:tcW w:w="962" w:type="dxa"/>
            <w:vAlign w:val="center"/>
            <w:hideMark/>
          </w:tcPr>
          <w:p w14:paraId="33D62A11" w14:textId="3D95F52C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</w:p>
        </w:tc>
        <w:tc>
          <w:tcPr>
            <w:tcW w:w="2522" w:type="dxa"/>
            <w:vAlign w:val="center"/>
            <w:hideMark/>
          </w:tcPr>
          <w:p w14:paraId="3A18AEFC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Connect all components</w:t>
            </w:r>
          </w:p>
        </w:tc>
        <w:tc>
          <w:tcPr>
            <w:tcW w:w="5625" w:type="dxa"/>
            <w:vAlign w:val="center"/>
            <w:hideMark/>
          </w:tcPr>
          <w:p w14:paraId="5FFDC719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Essential for building the circuit. Flexible and reusable for rapid prototyping.</w:t>
            </w:r>
          </w:p>
        </w:tc>
      </w:tr>
      <w:tr w:rsidR="005B6585" w:rsidRPr="005B6585" w14:paraId="24810396" w14:textId="77777777" w:rsidTr="005B6585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19F0C68A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IN" w:eastAsia="en-GB"/>
              </w:rPr>
              <w:t>Power Source (USB / Battery)</w:t>
            </w:r>
          </w:p>
        </w:tc>
        <w:tc>
          <w:tcPr>
            <w:tcW w:w="962" w:type="dxa"/>
            <w:vAlign w:val="center"/>
            <w:hideMark/>
          </w:tcPr>
          <w:p w14:paraId="44FD5348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1</w:t>
            </w:r>
          </w:p>
        </w:tc>
        <w:tc>
          <w:tcPr>
            <w:tcW w:w="2522" w:type="dxa"/>
            <w:vAlign w:val="center"/>
            <w:hideMark/>
          </w:tcPr>
          <w:p w14:paraId="4570BF02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Powers the ESP32 and components</w:t>
            </w:r>
          </w:p>
        </w:tc>
        <w:tc>
          <w:tcPr>
            <w:tcW w:w="5625" w:type="dxa"/>
            <w:vAlign w:val="center"/>
            <w:hideMark/>
          </w:tcPr>
          <w:p w14:paraId="115C7F01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Required for operation. USB used for development; battery suitable for wearable use.</w:t>
            </w:r>
          </w:p>
        </w:tc>
      </w:tr>
      <w:tr w:rsidR="005B6585" w:rsidRPr="005B6585" w14:paraId="478971B4" w14:textId="77777777" w:rsidTr="005B6585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04734A24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IN" w:eastAsia="en-GB"/>
              </w:rPr>
              <w:t>Velcro Strap</w:t>
            </w:r>
          </w:p>
        </w:tc>
        <w:tc>
          <w:tcPr>
            <w:tcW w:w="962" w:type="dxa"/>
            <w:vAlign w:val="center"/>
            <w:hideMark/>
          </w:tcPr>
          <w:p w14:paraId="55F006D7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1</w:t>
            </w:r>
          </w:p>
        </w:tc>
        <w:tc>
          <w:tcPr>
            <w:tcW w:w="2522" w:type="dxa"/>
            <w:vAlign w:val="center"/>
            <w:hideMark/>
          </w:tcPr>
          <w:p w14:paraId="7443560C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Secures device to user’s hand</w:t>
            </w:r>
          </w:p>
        </w:tc>
        <w:tc>
          <w:tcPr>
            <w:tcW w:w="5625" w:type="dxa"/>
            <w:vAlign w:val="center"/>
            <w:hideMark/>
          </w:tcPr>
          <w:p w14:paraId="5648F26F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 xml:space="preserve">Chosen for </w:t>
            </w:r>
            <w:r w:rsidRPr="005B65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IN" w:eastAsia="en-GB"/>
              </w:rPr>
              <w:t>adjustability and comfort</w:t>
            </w: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. Works better than rigid designs for different users.</w:t>
            </w:r>
          </w:p>
        </w:tc>
      </w:tr>
      <w:tr w:rsidR="005B6585" w:rsidRPr="005B6585" w14:paraId="14ED0B5F" w14:textId="77777777" w:rsidTr="005B6585">
        <w:trPr>
          <w:tblCellSpacing w:w="15" w:type="dxa"/>
        </w:trPr>
        <w:tc>
          <w:tcPr>
            <w:tcW w:w="2224" w:type="dxa"/>
            <w:vAlign w:val="center"/>
            <w:hideMark/>
          </w:tcPr>
          <w:p w14:paraId="7EDBD703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IN" w:eastAsia="en-GB"/>
              </w:rPr>
              <w:t>Cardboard Base</w:t>
            </w:r>
          </w:p>
        </w:tc>
        <w:tc>
          <w:tcPr>
            <w:tcW w:w="962" w:type="dxa"/>
            <w:vAlign w:val="center"/>
            <w:hideMark/>
          </w:tcPr>
          <w:p w14:paraId="52D47903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1</w:t>
            </w:r>
          </w:p>
        </w:tc>
        <w:tc>
          <w:tcPr>
            <w:tcW w:w="2522" w:type="dxa"/>
            <w:vAlign w:val="center"/>
            <w:hideMark/>
          </w:tcPr>
          <w:p w14:paraId="3C3349B9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>Holds components together physically</w:t>
            </w:r>
          </w:p>
        </w:tc>
        <w:tc>
          <w:tcPr>
            <w:tcW w:w="5625" w:type="dxa"/>
            <w:vAlign w:val="center"/>
            <w:hideMark/>
          </w:tcPr>
          <w:p w14:paraId="16A00BB0" w14:textId="77777777" w:rsidR="005B6585" w:rsidRPr="005B6585" w:rsidRDefault="005B6585" w:rsidP="005B6585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</w:pP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 xml:space="preserve">Used as a </w:t>
            </w:r>
            <w:r w:rsidRPr="005B6585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n-IN" w:eastAsia="en-GB"/>
              </w:rPr>
              <w:t>quick and stable prototyping structure</w:t>
            </w:r>
            <w:r w:rsidRPr="005B6585">
              <w:rPr>
                <w:rFonts w:ascii="Times New Roman" w:eastAsia="Times New Roman" w:hAnsi="Times New Roman" w:cs="Times New Roman"/>
                <w:sz w:val="18"/>
                <w:szCs w:val="18"/>
                <w:lang w:val="en-IN" w:eastAsia="en-GB"/>
              </w:rPr>
              <w:t xml:space="preserve"> after 3D printed design failed. Easy to modify and lightweight.</w:t>
            </w:r>
          </w:p>
        </w:tc>
      </w:tr>
    </w:tbl>
    <w:p w14:paraId="28FBD3AC" w14:textId="77777777" w:rsidR="005B6585" w:rsidRPr="005B6585" w:rsidRDefault="005B6585" w:rsidP="005B6585">
      <w:pPr>
        <w:rPr>
          <w:sz w:val="18"/>
          <w:szCs w:val="18"/>
        </w:rPr>
      </w:pPr>
    </w:p>
    <w:sectPr w:rsidR="005B6585" w:rsidRPr="005B6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ED263"/>
    <w:multiLevelType w:val="hybridMultilevel"/>
    <w:tmpl w:val="CE1E01A6"/>
    <w:lvl w:ilvl="0" w:tplc="9D264F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08BF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D894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94BF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4CB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94EE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584C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B8AE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F825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360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69FB6C"/>
    <w:rsid w:val="003835EA"/>
    <w:rsid w:val="00385008"/>
    <w:rsid w:val="005B6585"/>
    <w:rsid w:val="00B9124D"/>
    <w:rsid w:val="01BF5B6D"/>
    <w:rsid w:val="0602E2AF"/>
    <w:rsid w:val="0AD0D1E3"/>
    <w:rsid w:val="135EC786"/>
    <w:rsid w:val="16888C2A"/>
    <w:rsid w:val="2AC65916"/>
    <w:rsid w:val="3EF32C5E"/>
    <w:rsid w:val="40A42CA4"/>
    <w:rsid w:val="6C69FB6C"/>
    <w:rsid w:val="6D4E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FB6C"/>
  <w15:chartTrackingRefBased/>
  <w15:docId w15:val="{0AE46927-28DE-4578-9A9C-906F9525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D4E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D4E708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5B65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Mehar Madnani</cp:lastModifiedBy>
  <cp:revision>2</cp:revision>
  <dcterms:created xsi:type="dcterms:W3CDTF">2026-03-30T08:03:00Z</dcterms:created>
  <dcterms:modified xsi:type="dcterms:W3CDTF">2026-04-20T04:00:00Z</dcterms:modified>
</cp:coreProperties>
</file>