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BD" w:rsidRDefault="00BC44D3">
      <w:r w:rsidRPr="00BC44D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2504661</wp:posOffset>
            </wp:positionH>
            <wp:positionV relativeFrom="paragraph">
              <wp:posOffset>-341906</wp:posOffset>
            </wp:positionV>
            <wp:extent cx="985961" cy="985962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1" cy="9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27CB" w:rsidRDefault="002827CB"/>
    <w:p w:rsidR="002827CB" w:rsidRDefault="002827CB" w:rsidP="002827CB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2827CB">
        <w:rPr>
          <w:rFonts w:ascii="Andalus" w:hAnsi="Andalus" w:cs="Andalus"/>
          <w:b/>
          <w:color w:val="002060"/>
          <w:sz w:val="36"/>
          <w:szCs w:val="36"/>
        </w:rPr>
        <w:t>Registration Fees</w:t>
      </w:r>
    </w:p>
    <w:tbl>
      <w:tblPr>
        <w:tblStyle w:val="TableGrid"/>
        <w:tblW w:w="9498" w:type="dxa"/>
        <w:tblInd w:w="108" w:type="dxa"/>
        <w:tblLook w:val="04A0"/>
      </w:tblPr>
      <w:tblGrid>
        <w:gridCol w:w="6946"/>
        <w:gridCol w:w="2552"/>
      </w:tblGrid>
      <w:tr w:rsidR="00376F33" w:rsidRPr="00376F33" w:rsidTr="00376F33">
        <w:tc>
          <w:tcPr>
            <w:tcW w:w="6946" w:type="dxa"/>
          </w:tcPr>
          <w:p w:rsidR="00376F33" w:rsidRPr="00376F33" w:rsidRDefault="00376F33" w:rsidP="00376F33">
            <w:pPr>
              <w:spacing w:after="200" w:line="276" w:lineRule="auto"/>
              <w:jc w:val="both"/>
              <w:rPr>
                <w:rFonts w:ascii="Andalus" w:hAnsi="Andalus" w:cs="Andalus"/>
                <w:b/>
                <w:color w:val="002060"/>
                <w:sz w:val="36"/>
                <w:szCs w:val="36"/>
              </w:rPr>
            </w:pPr>
            <w:r w:rsidRPr="00376F33">
              <w:rPr>
                <w:rFonts w:ascii="Andalus" w:hAnsi="Andalus" w:cs="Andalus"/>
                <w:b/>
                <w:color w:val="002060"/>
                <w:sz w:val="36"/>
                <w:szCs w:val="36"/>
              </w:rPr>
              <w:t>Listener/Attendee</w:t>
            </w:r>
          </w:p>
        </w:tc>
        <w:tc>
          <w:tcPr>
            <w:tcW w:w="2552" w:type="dxa"/>
          </w:tcPr>
          <w:p w:rsidR="00376F33" w:rsidRPr="00376F33" w:rsidRDefault="00376F33" w:rsidP="00376F33">
            <w:pPr>
              <w:spacing w:after="200" w:line="276" w:lineRule="auto"/>
              <w:jc w:val="both"/>
              <w:rPr>
                <w:rFonts w:ascii="Andalus" w:hAnsi="Andalus" w:cs="Andalus"/>
                <w:b/>
                <w:color w:val="002060"/>
                <w:sz w:val="36"/>
                <w:szCs w:val="36"/>
              </w:rPr>
            </w:pPr>
            <w:r w:rsidRPr="00376F33">
              <w:rPr>
                <w:rFonts w:ascii="Andalus" w:hAnsi="Andalus" w:cs="Andalus"/>
                <w:b/>
                <w:color w:val="002060"/>
                <w:sz w:val="36"/>
                <w:szCs w:val="36"/>
              </w:rPr>
              <w:t>2500/-</w:t>
            </w:r>
          </w:p>
        </w:tc>
      </w:tr>
      <w:tr w:rsidR="00376F33" w:rsidRPr="00376F33" w:rsidTr="00376F33">
        <w:tc>
          <w:tcPr>
            <w:tcW w:w="6946" w:type="dxa"/>
          </w:tcPr>
          <w:p w:rsidR="00376F33" w:rsidRPr="00376F33" w:rsidRDefault="00376F33" w:rsidP="00376F33">
            <w:pPr>
              <w:spacing w:after="200" w:line="276" w:lineRule="auto"/>
              <w:jc w:val="both"/>
              <w:rPr>
                <w:rFonts w:ascii="Andalus" w:hAnsi="Andalus" w:cs="Andalus"/>
                <w:b/>
                <w:color w:val="002060"/>
                <w:sz w:val="36"/>
                <w:szCs w:val="36"/>
              </w:rPr>
            </w:pPr>
            <w:r w:rsidRPr="00376F33">
              <w:rPr>
                <w:rFonts w:ascii="Andalus" w:hAnsi="Andalus" w:cs="Andalus"/>
                <w:b/>
                <w:color w:val="002060"/>
                <w:sz w:val="36"/>
                <w:szCs w:val="36"/>
              </w:rPr>
              <w:t>Research Scholar/Faculty from Academic Institutes</w:t>
            </w:r>
          </w:p>
        </w:tc>
        <w:tc>
          <w:tcPr>
            <w:tcW w:w="2552" w:type="dxa"/>
          </w:tcPr>
          <w:p w:rsidR="00376F33" w:rsidRPr="00376F33" w:rsidRDefault="00376F33" w:rsidP="00376F33">
            <w:pPr>
              <w:spacing w:after="200" w:line="276" w:lineRule="auto"/>
              <w:jc w:val="both"/>
              <w:rPr>
                <w:rFonts w:ascii="Andalus" w:hAnsi="Andalus" w:cs="Andalus"/>
                <w:b/>
                <w:color w:val="002060"/>
                <w:sz w:val="36"/>
                <w:szCs w:val="36"/>
              </w:rPr>
            </w:pPr>
            <w:r w:rsidRPr="00376F33">
              <w:rPr>
                <w:rFonts w:ascii="Andalus" w:hAnsi="Andalus" w:cs="Andalus"/>
                <w:b/>
                <w:color w:val="002060"/>
                <w:sz w:val="36"/>
                <w:szCs w:val="36"/>
              </w:rPr>
              <w:t>2800/-</w:t>
            </w:r>
          </w:p>
        </w:tc>
      </w:tr>
      <w:tr w:rsidR="00376F33" w:rsidRPr="00376F33" w:rsidTr="00376F33">
        <w:tc>
          <w:tcPr>
            <w:tcW w:w="6946" w:type="dxa"/>
          </w:tcPr>
          <w:p w:rsidR="00376F33" w:rsidRPr="00376F33" w:rsidRDefault="00376F33" w:rsidP="00376F33">
            <w:pPr>
              <w:spacing w:after="200" w:line="276" w:lineRule="auto"/>
              <w:jc w:val="both"/>
              <w:rPr>
                <w:rFonts w:ascii="Andalus" w:hAnsi="Andalus" w:cs="Andalus"/>
                <w:b/>
                <w:color w:val="002060"/>
                <w:sz w:val="36"/>
                <w:szCs w:val="36"/>
              </w:rPr>
            </w:pPr>
            <w:r w:rsidRPr="00376F33">
              <w:rPr>
                <w:rFonts w:ascii="Andalus" w:hAnsi="Andalus" w:cs="Andalus"/>
                <w:b/>
                <w:color w:val="002060"/>
                <w:sz w:val="36"/>
                <w:szCs w:val="36"/>
              </w:rPr>
              <w:t>Authors from Industries</w:t>
            </w:r>
          </w:p>
        </w:tc>
        <w:tc>
          <w:tcPr>
            <w:tcW w:w="2552" w:type="dxa"/>
          </w:tcPr>
          <w:p w:rsidR="00376F33" w:rsidRPr="00376F33" w:rsidRDefault="00376F33" w:rsidP="00376F33">
            <w:pPr>
              <w:spacing w:after="200" w:line="276" w:lineRule="auto"/>
              <w:jc w:val="both"/>
              <w:rPr>
                <w:rFonts w:ascii="Andalus" w:hAnsi="Andalus" w:cs="Andalus"/>
                <w:b/>
                <w:color w:val="002060"/>
                <w:sz w:val="36"/>
                <w:szCs w:val="36"/>
              </w:rPr>
            </w:pPr>
            <w:r w:rsidRPr="00376F33">
              <w:rPr>
                <w:rFonts w:ascii="Andalus" w:hAnsi="Andalus" w:cs="Andalus"/>
                <w:b/>
                <w:color w:val="002060"/>
                <w:sz w:val="36"/>
                <w:szCs w:val="36"/>
              </w:rPr>
              <w:t>3000/-</w:t>
            </w:r>
          </w:p>
        </w:tc>
      </w:tr>
      <w:tr w:rsidR="00376F33" w:rsidRPr="00376F33" w:rsidTr="00376F33">
        <w:tc>
          <w:tcPr>
            <w:tcW w:w="6946" w:type="dxa"/>
          </w:tcPr>
          <w:p w:rsidR="00376F33" w:rsidRPr="00376F33" w:rsidRDefault="00376F33" w:rsidP="00376F33">
            <w:pPr>
              <w:spacing w:after="200" w:line="276" w:lineRule="auto"/>
              <w:jc w:val="both"/>
              <w:rPr>
                <w:rFonts w:ascii="Andalus" w:hAnsi="Andalus" w:cs="Andalus"/>
                <w:b/>
                <w:color w:val="002060"/>
                <w:sz w:val="36"/>
                <w:szCs w:val="36"/>
              </w:rPr>
            </w:pPr>
            <w:r w:rsidRPr="00376F33">
              <w:rPr>
                <w:rFonts w:ascii="Andalus" w:hAnsi="Andalus" w:cs="Andalus"/>
                <w:b/>
                <w:color w:val="002060"/>
                <w:sz w:val="36"/>
                <w:szCs w:val="36"/>
              </w:rPr>
              <w:t>PG Students</w:t>
            </w:r>
          </w:p>
        </w:tc>
        <w:tc>
          <w:tcPr>
            <w:tcW w:w="2552" w:type="dxa"/>
          </w:tcPr>
          <w:p w:rsidR="00376F33" w:rsidRPr="00376F33" w:rsidRDefault="00376F33" w:rsidP="00376F33">
            <w:pPr>
              <w:spacing w:after="200" w:line="276" w:lineRule="auto"/>
              <w:jc w:val="both"/>
              <w:rPr>
                <w:rFonts w:ascii="Andalus" w:hAnsi="Andalus" w:cs="Andalus"/>
                <w:b/>
                <w:color w:val="002060"/>
                <w:sz w:val="36"/>
                <w:szCs w:val="36"/>
              </w:rPr>
            </w:pPr>
            <w:r w:rsidRPr="00376F33">
              <w:rPr>
                <w:rFonts w:ascii="Andalus" w:hAnsi="Andalus" w:cs="Andalus"/>
                <w:b/>
                <w:color w:val="002060"/>
                <w:sz w:val="36"/>
                <w:szCs w:val="36"/>
              </w:rPr>
              <w:t>2500/-</w:t>
            </w:r>
          </w:p>
        </w:tc>
      </w:tr>
    </w:tbl>
    <w:p w:rsidR="002827CB" w:rsidRDefault="002827CB" w:rsidP="00376F33">
      <w:pPr>
        <w:jc w:val="both"/>
        <w:rPr>
          <w:rFonts w:ascii="Andalus" w:hAnsi="Andalus" w:cs="Andalus"/>
          <w:b/>
          <w:color w:val="002060"/>
          <w:sz w:val="36"/>
          <w:szCs w:val="36"/>
        </w:rPr>
      </w:pPr>
    </w:p>
    <w:p w:rsidR="00835097" w:rsidRPr="00835097" w:rsidRDefault="00835097" w:rsidP="00835097">
      <w:pPr>
        <w:jc w:val="both"/>
        <w:rPr>
          <w:rFonts w:ascii="Andalus" w:hAnsi="Andalus" w:cs="Andalus"/>
          <w:b/>
          <w:color w:val="002060"/>
          <w:sz w:val="24"/>
          <w:szCs w:val="24"/>
        </w:rPr>
      </w:pPr>
      <w:r w:rsidRPr="00835097">
        <w:rPr>
          <w:rFonts w:ascii="Andalus" w:hAnsi="Andalus" w:cs="Andalus"/>
          <w:b/>
          <w:color w:val="002060"/>
          <w:sz w:val="24"/>
          <w:szCs w:val="24"/>
        </w:rPr>
        <w:t xml:space="preserve">After the due date Author has to pay Registration Fees + Rs. 400 extra (as emergency planning charges). The registration fee includes admission to all sessions, kit, conference proceedings (soft copy), Journal publication, certificates, meals and Lonavala tour. </w:t>
      </w:r>
    </w:p>
    <w:p w:rsidR="00376F33" w:rsidRPr="002827CB" w:rsidRDefault="00376F33" w:rsidP="00376F33">
      <w:pPr>
        <w:jc w:val="both"/>
        <w:rPr>
          <w:rFonts w:ascii="Andalus" w:hAnsi="Andalus" w:cs="Andalus"/>
          <w:b/>
          <w:color w:val="002060"/>
          <w:sz w:val="36"/>
          <w:szCs w:val="36"/>
        </w:rPr>
      </w:pPr>
    </w:p>
    <w:sectPr w:rsidR="00376F33" w:rsidRPr="002827CB" w:rsidSect="00B96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C44D3"/>
    <w:rsid w:val="002827CB"/>
    <w:rsid w:val="00376F33"/>
    <w:rsid w:val="00835097"/>
    <w:rsid w:val="00B964BD"/>
    <w:rsid w:val="00BC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4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6F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2016-12-01T08:04:00Z</dcterms:created>
  <dcterms:modified xsi:type="dcterms:W3CDTF">2016-12-01T11:19:00Z</dcterms:modified>
</cp:coreProperties>
</file>