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B2B" w:rsidRDefault="00EF4A77">
      <w:r w:rsidRPr="00EF4A77">
        <w:drawing>
          <wp:anchor distT="0" distB="0" distL="114300" distR="114300" simplePos="0" relativeHeight="251659264" behindDoc="0" locked="0" layoutInCell="1" allowOverlap="1">
            <wp:simplePos x="0" y="0"/>
            <wp:positionH relativeFrom="column">
              <wp:posOffset>2358887</wp:posOffset>
            </wp:positionH>
            <wp:positionV relativeFrom="paragraph">
              <wp:posOffset>-46383</wp:posOffset>
            </wp:positionV>
            <wp:extent cx="987287" cy="987287"/>
            <wp:effectExtent l="0" t="0" r="0" b="0"/>
            <wp:wrapNone/>
            <wp:docPr id="2" name="Picture 1" descr="E:\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esktop\LOGO.png"/>
                    <pic:cNvPicPr>
                      <a:picLocks noChangeAspect="1" noChangeArrowheads="1"/>
                    </pic:cNvPicPr>
                  </pic:nvPicPr>
                  <pic:blipFill>
                    <a:blip r:embed="rId4"/>
                    <a:srcRect/>
                    <a:stretch>
                      <a:fillRect/>
                    </a:stretch>
                  </pic:blipFill>
                  <pic:spPr bwMode="auto">
                    <a:xfrm>
                      <a:off x="0" y="0"/>
                      <a:ext cx="987287" cy="987287"/>
                    </a:xfrm>
                    <a:prstGeom prst="rect">
                      <a:avLst/>
                    </a:prstGeom>
                    <a:noFill/>
                    <a:ln w="9525">
                      <a:noFill/>
                      <a:miter lim="800000"/>
                      <a:headEnd/>
                      <a:tailEnd/>
                    </a:ln>
                  </pic:spPr>
                </pic:pic>
              </a:graphicData>
            </a:graphic>
          </wp:anchor>
        </w:drawing>
      </w:r>
    </w:p>
    <w:p w:rsidR="00EF4A77" w:rsidRDefault="00EF4A77"/>
    <w:p w:rsidR="00EF4A77" w:rsidRDefault="00EF4A77"/>
    <w:p w:rsidR="00EF4A77" w:rsidRDefault="00EF61D6" w:rsidP="00EF61D6">
      <w:pPr>
        <w:jc w:val="center"/>
        <w:rPr>
          <w:rFonts w:ascii="Andalus" w:hAnsi="Andalus" w:cs="Andalus"/>
          <w:b/>
          <w:color w:val="002060"/>
          <w:sz w:val="36"/>
          <w:szCs w:val="36"/>
        </w:rPr>
      </w:pPr>
      <w:r w:rsidRPr="00EF61D6">
        <w:rPr>
          <w:rFonts w:ascii="Andalus" w:hAnsi="Andalus" w:cs="Andalus"/>
          <w:b/>
          <w:color w:val="002060"/>
          <w:sz w:val="36"/>
          <w:szCs w:val="36"/>
        </w:rPr>
        <w:t>Guidelines for Listeners/ Attendee</w:t>
      </w:r>
    </w:p>
    <w:p w:rsidR="00EF61D6" w:rsidRDefault="0089480B" w:rsidP="0089480B">
      <w:pPr>
        <w:jc w:val="both"/>
        <w:rPr>
          <w:rFonts w:ascii="Andalus" w:hAnsi="Andalus" w:cs="Andalus"/>
          <w:color w:val="002060"/>
          <w:sz w:val="24"/>
          <w:szCs w:val="24"/>
        </w:rPr>
      </w:pPr>
      <w:r>
        <w:rPr>
          <w:rFonts w:ascii="Andalus" w:hAnsi="Andalus" w:cs="Andalus"/>
          <w:color w:val="002060"/>
          <w:sz w:val="24"/>
          <w:szCs w:val="24"/>
        </w:rPr>
        <w:t>1) Those who want to only attend the conference need to register online. (</w:t>
      </w:r>
      <w:hyperlink r:id="rId5" w:history="1">
        <w:r w:rsidRPr="001D4997">
          <w:rPr>
            <w:rStyle w:val="Hyperlink"/>
            <w:rFonts w:ascii="Andalus" w:hAnsi="Andalus" w:cs="Andalus"/>
            <w:sz w:val="24"/>
            <w:szCs w:val="24"/>
          </w:rPr>
          <w:t>www.ncime.com</w:t>
        </w:r>
      </w:hyperlink>
      <w:r>
        <w:rPr>
          <w:rFonts w:ascii="Andalus" w:hAnsi="Andalus" w:cs="Andalus"/>
          <w:color w:val="002060"/>
          <w:sz w:val="24"/>
          <w:szCs w:val="24"/>
        </w:rPr>
        <w:t>)</w:t>
      </w:r>
    </w:p>
    <w:p w:rsidR="0089480B" w:rsidRDefault="0089480B" w:rsidP="0089480B">
      <w:pPr>
        <w:jc w:val="both"/>
        <w:rPr>
          <w:rFonts w:ascii="Andalus" w:hAnsi="Andalus" w:cs="Andalus"/>
          <w:color w:val="002060"/>
          <w:sz w:val="24"/>
          <w:szCs w:val="24"/>
        </w:rPr>
      </w:pPr>
      <w:r>
        <w:rPr>
          <w:rFonts w:ascii="Andalus" w:hAnsi="Andalus" w:cs="Andalus"/>
          <w:color w:val="002060"/>
          <w:sz w:val="24"/>
          <w:szCs w:val="24"/>
        </w:rPr>
        <w:t>2) Listeners will get all the benefits of the conference including admission to all sessions, conference kit, Tea, Breakfast, Lunch, conference proceedings (soft copy), Lonavala site tour, free accommodation and one side travelling allowance.</w:t>
      </w:r>
    </w:p>
    <w:p w:rsidR="00325B2B" w:rsidRPr="0089480B" w:rsidRDefault="00325B2B" w:rsidP="0089480B">
      <w:pPr>
        <w:jc w:val="both"/>
        <w:rPr>
          <w:rFonts w:ascii="Andalus" w:hAnsi="Andalus" w:cs="Andalus"/>
          <w:color w:val="002060"/>
          <w:sz w:val="24"/>
          <w:szCs w:val="24"/>
        </w:rPr>
      </w:pPr>
      <w:r>
        <w:rPr>
          <w:rFonts w:ascii="Andalus" w:hAnsi="Andalus" w:cs="Andalus"/>
          <w:color w:val="002060"/>
          <w:sz w:val="24"/>
          <w:szCs w:val="24"/>
        </w:rPr>
        <w:t xml:space="preserve">3) Listeners need to register </w:t>
      </w:r>
      <w:r w:rsidR="00026A43">
        <w:rPr>
          <w:rFonts w:ascii="Andalus" w:hAnsi="Andalus" w:cs="Andalus"/>
          <w:color w:val="002060"/>
          <w:sz w:val="24"/>
          <w:szCs w:val="24"/>
        </w:rPr>
        <w:t xml:space="preserve">online </w:t>
      </w:r>
      <w:r>
        <w:rPr>
          <w:rFonts w:ascii="Andalus" w:hAnsi="Andalus" w:cs="Andalus"/>
          <w:color w:val="002060"/>
          <w:sz w:val="24"/>
          <w:szCs w:val="24"/>
        </w:rPr>
        <w:t>dire</w:t>
      </w:r>
      <w:r w:rsidR="00026A43">
        <w:rPr>
          <w:rFonts w:ascii="Andalus" w:hAnsi="Andalus" w:cs="Andalus"/>
          <w:color w:val="002060"/>
          <w:sz w:val="24"/>
          <w:szCs w:val="24"/>
        </w:rPr>
        <w:t>ctly by paying given fees.</w:t>
      </w:r>
      <w:r>
        <w:rPr>
          <w:rFonts w:ascii="Andalus" w:hAnsi="Andalus" w:cs="Andalus"/>
          <w:color w:val="002060"/>
          <w:sz w:val="24"/>
          <w:szCs w:val="24"/>
        </w:rPr>
        <w:t xml:space="preserve">  </w:t>
      </w:r>
    </w:p>
    <w:sectPr w:rsidR="00325B2B" w:rsidRPr="008948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EF4A77"/>
    <w:rsid w:val="00026A43"/>
    <w:rsid w:val="00325B2B"/>
    <w:rsid w:val="0089480B"/>
    <w:rsid w:val="00EF4A77"/>
    <w:rsid w:val="00EF61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8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im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2016-12-01T09:33:00Z</dcterms:created>
  <dcterms:modified xsi:type="dcterms:W3CDTF">2016-12-01T09:57:00Z</dcterms:modified>
</cp:coreProperties>
</file>