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9778" w14:textId="78CD0D0A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</w:p>
    <w:p w14:paraId="049EB1A3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Submission Title</w:t>
      </w:r>
    </w:p>
    <w:p w14:paraId="571161ED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K-Sync: Zero-Touch Two-Way Interoperability Hub for SWS</w:t>
      </w:r>
    </w:p>
    <w:p w14:paraId="50E6A547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Theme Selection</w:t>
      </w:r>
    </w:p>
    <w:p w14:paraId="3B5F6903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Theme 2: Two-Way Interoperability between the Single Window System and Department Systems by Karnataka Commerce &amp; Industry</w:t>
      </w:r>
    </w:p>
    <w:p w14:paraId="564C7839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pict w14:anchorId="27179FD3">
          <v:rect id="_x0000_i1062" style="width:0;height:1.5pt" o:hralign="center" o:hrstd="t" o:hrnoshade="t" o:hr="t" fillcolor="gray" stroked="f"/>
        </w:pict>
      </w:r>
    </w:p>
    <w:p w14:paraId="4EACFE45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1. Understanding the Problem &amp; Constraints</w:t>
      </w:r>
    </w:p>
    <w:p w14:paraId="5DA3758E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The transition of Karnataka’s state services to the Single Window System (SWS) cannot rely on a "big-bang" migration. The scale, variety, and critical nature of the 40+ legacy department systems mean a simultaneous cutover would inevitably fail, risking citizen service delivery.</w:t>
      </w:r>
    </w:p>
    <w:p w14:paraId="62E1B647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Currently, a "split-brain" state exists. SWS and legacy systems operate in parallel, causing data to drift out of sync. To resolve this, we must build a centralized middleware layer. Our approach respects three absolute non-negotiables:</w:t>
      </w:r>
    </w:p>
    <w:p w14:paraId="081ABF00" w14:textId="77777777" w:rsidR="00D3361B" w:rsidRPr="00D3361B" w:rsidRDefault="00D3361B" w:rsidP="00D3361B">
      <w:pPr>
        <w:numPr>
          <w:ilvl w:val="0"/>
          <w:numId w:val="9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Zero System Modification:</w:t>
      </w:r>
      <w:r w:rsidRPr="00D3361B">
        <w:rPr>
          <w:rFonts w:ascii="Times New Roman" w:hAnsi="Times New Roman" w:cs="Times New Roman"/>
        </w:rPr>
        <w:t xml:space="preserve"> We operate strictly as an Anti-Corruption Layer (ACL). SWS and legacy systems will not change their APIs, schemas, or databases.</w:t>
      </w:r>
    </w:p>
    <w:p w14:paraId="051E2A7C" w14:textId="77777777" w:rsidR="00D3361B" w:rsidRPr="00D3361B" w:rsidRDefault="00D3361B" w:rsidP="00D3361B">
      <w:pPr>
        <w:numPr>
          <w:ilvl w:val="0"/>
          <w:numId w:val="9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UBID as the Anchor:</w:t>
      </w:r>
      <w:r w:rsidRPr="00D3361B">
        <w:rPr>
          <w:rFonts w:ascii="Times New Roman" w:hAnsi="Times New Roman" w:cs="Times New Roman"/>
        </w:rPr>
        <w:t xml:space="preserve"> The Unique Business Identifier (UBID) is the sole reliable join key for state synchronization.</w:t>
      </w:r>
    </w:p>
    <w:p w14:paraId="71509576" w14:textId="77777777" w:rsidR="00D3361B" w:rsidRPr="00D3361B" w:rsidRDefault="00D3361B" w:rsidP="00D3361B">
      <w:pPr>
        <w:numPr>
          <w:ilvl w:val="0"/>
          <w:numId w:val="9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No PII in LLMs:</w:t>
      </w:r>
      <w:r w:rsidRPr="00D3361B">
        <w:rPr>
          <w:rFonts w:ascii="Times New Roman" w:hAnsi="Times New Roman" w:cs="Times New Roman"/>
        </w:rPr>
        <w:t xml:space="preserve"> Generative AI cannot be used at runtime to process citizen data. All runtime translations must be 100% deterministic.</w:t>
      </w:r>
    </w:p>
    <w:p w14:paraId="3B82B578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2. Architecture Overview: Two-Way Propagation</w:t>
      </w:r>
    </w:p>
    <w:p w14:paraId="2078A220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K-Sync utilizes an Event-Driven, Hub-and-Spoke architecture backed by an Apache Kafka message broker to decouple ingress and egress traffic, ensuring high availability and fault tolerance.</w:t>
      </w:r>
    </w:p>
    <w:p w14:paraId="4EF05DD2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Direction 1: From SWS to Legacy Departments</w:t>
      </w:r>
    </w:p>
    <w:p w14:paraId="764C23F7" w14:textId="77777777" w:rsidR="00D3361B" w:rsidRPr="00D3361B" w:rsidRDefault="00D3361B" w:rsidP="00D3361B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A service request in SWS triggers a webhook or API push to the K-Sync Ingress Gateway.</w:t>
      </w:r>
    </w:p>
    <w:p w14:paraId="620CC366" w14:textId="77777777" w:rsidR="00D3361B" w:rsidRPr="00D3361B" w:rsidRDefault="00D3361B" w:rsidP="00D3361B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The K-Sync routing engine queries a UBID registry to determine which legacy systems hold records for this specific business.</w:t>
      </w:r>
    </w:p>
    <w:p w14:paraId="1EB105E2" w14:textId="77777777" w:rsidR="00D3361B" w:rsidRPr="00D3361B" w:rsidRDefault="00D3361B" w:rsidP="00D3361B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The standardized event is pushed to department-specific Kafka topics.</w:t>
      </w:r>
    </w:p>
    <w:p w14:paraId="083B832D" w14:textId="77777777" w:rsidR="00D3361B" w:rsidRPr="00D3361B" w:rsidRDefault="00D3361B" w:rsidP="00D3361B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Department Egress Adapters consume these messages, apply the necessary schema translation, and execute the API call (REST, SOAP, or RPC) to the target legacy system.</w:t>
      </w:r>
    </w:p>
    <w:p w14:paraId="6E24012E" w14:textId="77777777" w:rsidR="00D3361B" w:rsidRPr="00D3361B" w:rsidRDefault="00D3361B" w:rsidP="00D3361B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Failures trigger an exponential backoff retry mechanism.</w:t>
      </w:r>
    </w:p>
    <w:p w14:paraId="764E2583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Direction 2: From Legacy Departments to SWS</w:t>
      </w:r>
    </w:p>
    <w:p w14:paraId="2F0210B2" w14:textId="77777777" w:rsidR="00D3361B" w:rsidRPr="00D3361B" w:rsidRDefault="00D3361B" w:rsidP="00D3361B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lastRenderedPageBreak/>
        <w:t>Legacy Ingress Adapters actively monitor the 40+ department systems for changes.</w:t>
      </w:r>
    </w:p>
    <w:p w14:paraId="7D474B1C" w14:textId="77777777" w:rsidR="00D3361B" w:rsidRPr="00D3361B" w:rsidRDefault="00D3361B" w:rsidP="00D3361B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Extracted changes are normalized into K-Sync’s internal event format.</w:t>
      </w:r>
    </w:p>
    <w:p w14:paraId="33197832" w14:textId="77777777" w:rsidR="00D3361B" w:rsidRPr="00D3361B" w:rsidRDefault="00D3361B" w:rsidP="00D3361B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The normalized event is queued, translated into the strict SWS schema, and pushed to SWS via its standard API.</w:t>
      </w:r>
    </w:p>
    <w:p w14:paraId="7324D5ED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3. Schema Translation Strategy (Zero-Touch &amp; Deterministic)</w:t>
      </w:r>
    </w:p>
    <w:p w14:paraId="672FD50A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>Because Hosted-LLM calls on raw PII are strictly prohibited, K-Sync separates the intelligence of mapping from the execution of mapping.</w:t>
      </w:r>
    </w:p>
    <w:p w14:paraId="310CC8DC" w14:textId="77777777" w:rsidR="00D3361B" w:rsidRPr="00D3361B" w:rsidRDefault="00D3361B" w:rsidP="00D3361B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Offline LLM Mapping (Onboarding Phase):</w:t>
      </w:r>
      <w:r w:rsidRPr="00D3361B">
        <w:rPr>
          <w:rFonts w:ascii="Times New Roman" w:hAnsi="Times New Roman" w:cs="Times New Roman"/>
        </w:rPr>
        <w:t xml:space="preserve"> During development, we utilize synthetic data and LLMs to </w:t>
      </w:r>
      <w:proofErr w:type="spellStart"/>
      <w:r w:rsidRPr="00D3361B">
        <w:rPr>
          <w:rFonts w:ascii="Times New Roman" w:hAnsi="Times New Roman" w:cs="Times New Roman"/>
        </w:rPr>
        <w:t>analyze</w:t>
      </w:r>
      <w:proofErr w:type="spellEnd"/>
      <w:r w:rsidRPr="00D3361B">
        <w:rPr>
          <w:rFonts w:ascii="Times New Roman" w:hAnsi="Times New Roman" w:cs="Times New Roman"/>
        </w:rPr>
        <w:t xml:space="preserve"> a legacy department's schema. The LLM assists in generating a strict, deterministic transformation script using </w:t>
      </w:r>
      <w:proofErr w:type="spellStart"/>
      <w:r w:rsidRPr="00D3361B">
        <w:rPr>
          <w:rFonts w:ascii="Times New Roman" w:hAnsi="Times New Roman" w:cs="Times New Roman"/>
          <w:b/>
          <w:bCs/>
        </w:rPr>
        <w:t>JSONata</w:t>
      </w:r>
      <w:proofErr w:type="spellEnd"/>
      <w:r w:rsidRPr="00D3361B">
        <w:rPr>
          <w:rFonts w:ascii="Times New Roman" w:hAnsi="Times New Roman" w:cs="Times New Roman"/>
        </w:rPr>
        <w:t xml:space="preserve"> (for JSON mapping) or </w:t>
      </w:r>
      <w:r w:rsidRPr="00D3361B">
        <w:rPr>
          <w:rFonts w:ascii="Times New Roman" w:hAnsi="Times New Roman" w:cs="Times New Roman"/>
          <w:b/>
          <w:bCs/>
        </w:rPr>
        <w:t>XSLT</w:t>
      </w:r>
      <w:r w:rsidRPr="00D3361B">
        <w:rPr>
          <w:rFonts w:ascii="Times New Roman" w:hAnsi="Times New Roman" w:cs="Times New Roman"/>
        </w:rPr>
        <w:t xml:space="preserve"> (for XML mapping).</w:t>
      </w:r>
    </w:p>
    <w:p w14:paraId="52826CCC" w14:textId="77777777" w:rsidR="00D3361B" w:rsidRPr="00D3361B" w:rsidRDefault="00D3361B" w:rsidP="00D3361B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Runtime Execution:</w:t>
      </w:r>
      <w:r w:rsidRPr="00D3361B">
        <w:rPr>
          <w:rFonts w:ascii="Times New Roman" w:hAnsi="Times New Roman" w:cs="Times New Roman"/>
        </w:rPr>
        <w:t xml:space="preserve"> In production, K-Sync utilizes a Schema Registry. When an event requires translation, the engine fetches the pre-approved, hardcoded </w:t>
      </w:r>
      <w:proofErr w:type="spellStart"/>
      <w:r w:rsidRPr="00D3361B">
        <w:rPr>
          <w:rFonts w:ascii="Times New Roman" w:hAnsi="Times New Roman" w:cs="Times New Roman"/>
        </w:rPr>
        <w:t>JSONata</w:t>
      </w:r>
      <w:proofErr w:type="spellEnd"/>
      <w:r w:rsidRPr="00D3361B">
        <w:rPr>
          <w:rFonts w:ascii="Times New Roman" w:hAnsi="Times New Roman" w:cs="Times New Roman"/>
        </w:rPr>
        <w:t xml:space="preserve"> template for that department and executes it locally. This guarantees zero AI hallucinations and zero data privacy breaches.</w:t>
      </w:r>
    </w:p>
    <w:p w14:paraId="7094B5E2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4. Change Discovery in Eventless Architectures</w:t>
      </w:r>
    </w:p>
    <w:p w14:paraId="14128EE6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 xml:space="preserve">Legacy systems rarely natively emit webhooks or events. K-Sync employs </w:t>
      </w:r>
      <w:r w:rsidRPr="00D3361B">
        <w:rPr>
          <w:rFonts w:ascii="Times New Roman" w:hAnsi="Times New Roman" w:cs="Times New Roman"/>
          <w:b/>
          <w:bCs/>
        </w:rPr>
        <w:t>Adaptive Polling &amp; Change Data Capture (CDC)</w:t>
      </w:r>
      <w:r w:rsidRPr="00D3361B">
        <w:rPr>
          <w:rFonts w:ascii="Times New Roman" w:hAnsi="Times New Roman" w:cs="Times New Roman"/>
        </w:rPr>
        <w:t xml:space="preserve"> to detect state changes without modifying the source systems.</w:t>
      </w:r>
    </w:p>
    <w:p w14:paraId="2700C155" w14:textId="77777777" w:rsidR="00D3361B" w:rsidRPr="00D3361B" w:rsidRDefault="00D3361B" w:rsidP="00D3361B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Timestamp API Polling:</w:t>
      </w:r>
      <w:r w:rsidRPr="00D3361B">
        <w:rPr>
          <w:rFonts w:ascii="Times New Roman" w:hAnsi="Times New Roman" w:cs="Times New Roman"/>
        </w:rPr>
        <w:t xml:space="preserve"> If the legacy API supports query parameters (e.g., </w:t>
      </w:r>
      <w:proofErr w:type="spellStart"/>
      <w:r w:rsidRPr="00D3361B">
        <w:rPr>
          <w:rFonts w:ascii="Times New Roman" w:hAnsi="Times New Roman" w:cs="Times New Roman"/>
        </w:rPr>
        <w:t>updated_since</w:t>
      </w:r>
      <w:proofErr w:type="spellEnd"/>
      <w:r w:rsidRPr="00D3361B">
        <w:rPr>
          <w:rFonts w:ascii="Times New Roman" w:hAnsi="Times New Roman" w:cs="Times New Roman"/>
        </w:rPr>
        <w:t xml:space="preserve">), the adapter runs scheduled </w:t>
      </w:r>
      <w:proofErr w:type="spellStart"/>
      <w:r w:rsidRPr="00D3361B">
        <w:rPr>
          <w:rFonts w:ascii="Times New Roman" w:hAnsi="Times New Roman" w:cs="Times New Roman"/>
        </w:rPr>
        <w:t>cron</w:t>
      </w:r>
      <w:proofErr w:type="spellEnd"/>
      <w:r w:rsidRPr="00D3361B">
        <w:rPr>
          <w:rFonts w:ascii="Times New Roman" w:hAnsi="Times New Roman" w:cs="Times New Roman"/>
        </w:rPr>
        <w:t xml:space="preserve"> jobs to fetch recent modifications.</w:t>
      </w:r>
    </w:p>
    <w:p w14:paraId="6305A10F" w14:textId="77777777" w:rsidR="00D3361B" w:rsidRPr="00D3361B" w:rsidRDefault="00D3361B" w:rsidP="00D3361B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Snapshot Hashing (The Fallback):</w:t>
      </w:r>
      <w:r w:rsidRPr="00D3361B">
        <w:rPr>
          <w:rFonts w:ascii="Times New Roman" w:hAnsi="Times New Roman" w:cs="Times New Roman"/>
        </w:rPr>
        <w:t xml:space="preserve"> For systems with rigid APIs, K-Sync routinely polls the records associated with active UBIDs. It generates a cryptographic hash (SHA-256) of the current payload and compares it to the last known hash stored in a Redis cache.</w:t>
      </w:r>
    </w:p>
    <w:p w14:paraId="6A00ABB7" w14:textId="77777777" w:rsidR="00D3361B" w:rsidRPr="00D3361B" w:rsidRDefault="00D3361B" w:rsidP="00D3361B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Diff Computation:</w:t>
      </w:r>
      <w:r w:rsidRPr="00D3361B">
        <w:rPr>
          <w:rFonts w:ascii="Times New Roman" w:hAnsi="Times New Roman" w:cs="Times New Roman"/>
        </w:rPr>
        <w:t xml:space="preserve"> If the hashes differ, K-Sync identifies the exact field-level changes, wraps them in a standardized event payload, and initiates the synchronization pipeline to SWS.</w:t>
      </w:r>
    </w:p>
    <w:p w14:paraId="36C88191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5. Conflict Detection &amp; Resolution Policies</w:t>
      </w:r>
    </w:p>
    <w:p w14:paraId="451F7BB4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 xml:space="preserve">Conflicts occur when SWS and a legacy system update the same UBID simultaneously. Silent overwrites are unacceptable. K-Sync handles this via the </w:t>
      </w:r>
      <w:r w:rsidRPr="00D3361B">
        <w:rPr>
          <w:rFonts w:ascii="Times New Roman" w:hAnsi="Times New Roman" w:cs="Times New Roman"/>
          <w:b/>
          <w:bCs/>
        </w:rPr>
        <w:t>Redis Holding Pen and Authority Matrix</w:t>
      </w:r>
      <w:r w:rsidRPr="00D3361B">
        <w:rPr>
          <w:rFonts w:ascii="Times New Roman" w:hAnsi="Times New Roman" w:cs="Times New Roman"/>
        </w:rPr>
        <w:t>.</w:t>
      </w:r>
    </w:p>
    <w:p w14:paraId="63D99509" w14:textId="77777777" w:rsidR="00D3361B" w:rsidRPr="00D3361B" w:rsidRDefault="00D3361B" w:rsidP="00D3361B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The Holding Pen:</w:t>
      </w:r>
      <w:r w:rsidRPr="00D3361B">
        <w:rPr>
          <w:rFonts w:ascii="Times New Roman" w:hAnsi="Times New Roman" w:cs="Times New Roman"/>
        </w:rPr>
        <w:t xml:space="preserve"> All incoming updates enter a Redis-backed buffer with a configurable time window (e.g., 30 seconds). If two updates targeting the same UBID enter this window, K-Sync flags a collision.</w:t>
      </w:r>
    </w:p>
    <w:p w14:paraId="2D3762A5" w14:textId="77777777" w:rsidR="00D3361B" w:rsidRPr="00D3361B" w:rsidRDefault="00D3361B" w:rsidP="00D3361B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The Authority Matrix:</w:t>
      </w:r>
      <w:r w:rsidRPr="00D3361B">
        <w:rPr>
          <w:rFonts w:ascii="Times New Roman" w:hAnsi="Times New Roman" w:cs="Times New Roman"/>
        </w:rPr>
        <w:t xml:space="preserve"> K-Sync applies a predefined resolution policy based on data ownership. For instance, SWS is designated as the authoritative source for "Demographics," while the Factories system is authoritative for "License Expiry Dates."</w:t>
      </w:r>
    </w:p>
    <w:p w14:paraId="40D02EC1" w14:textId="77777777" w:rsidR="00D3361B" w:rsidRPr="00D3361B" w:rsidRDefault="00D3361B" w:rsidP="00D3361B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Explainable Resolution:</w:t>
      </w:r>
      <w:r w:rsidRPr="00D3361B">
        <w:rPr>
          <w:rFonts w:ascii="Times New Roman" w:hAnsi="Times New Roman" w:cs="Times New Roman"/>
        </w:rPr>
        <w:t xml:space="preserve"> The system owning the specific data field wins. The losing update is explicitly dropped from synchronization but permanently recorded in the audit log with a CONFLICT_RESOLVED_DROPPED status and the triggering rule.</w:t>
      </w:r>
    </w:p>
    <w:p w14:paraId="0D9E81A6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lastRenderedPageBreak/>
        <w:t>6. Idempotency &amp; The Audit Trail</w:t>
      </w:r>
    </w:p>
    <w:p w14:paraId="14E0877D" w14:textId="77777777" w:rsidR="00D3361B" w:rsidRPr="00D3361B" w:rsidRDefault="00D3361B" w:rsidP="00D3361B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Guaranteed Idempotency:</w:t>
      </w:r>
      <w:r w:rsidRPr="00D3361B">
        <w:rPr>
          <w:rFonts w:ascii="Times New Roman" w:hAnsi="Times New Roman" w:cs="Times New Roman"/>
        </w:rPr>
        <w:t xml:space="preserve"> Every incoming request generates a unique Idempotency Key (e.g., a hash of UBID + Timestamp + Payload). This key is stored in Redis. If a network timeout causes a system to retry a request, K-Sync recognizes the key and returns a cached success response, preventing duplicate writes.</w:t>
      </w:r>
    </w:p>
    <w:p w14:paraId="04BA7325" w14:textId="77777777" w:rsidR="00D3361B" w:rsidRPr="00D3361B" w:rsidRDefault="00D3361B" w:rsidP="00D3361B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Immutable Audit Ledger:</w:t>
      </w:r>
      <w:r w:rsidRPr="00D3361B">
        <w:rPr>
          <w:rFonts w:ascii="Times New Roman" w:hAnsi="Times New Roman" w:cs="Times New Roman"/>
        </w:rPr>
        <w:t xml:space="preserve"> Every state transition—Ingress, Translation, Routing, Egress, Conflict Resolution, and Error—is logged as an immutable event in a PostgreSQL database using an append-only architecture. This provides a complete, traceable lineage of every data point.</w:t>
      </w:r>
    </w:p>
    <w:p w14:paraId="7FE016C6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7. Key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807"/>
        <w:gridCol w:w="5399"/>
      </w:tblGrid>
      <w:tr w:rsidR="00D3361B" w:rsidRPr="00D3361B" w14:paraId="251E64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69CF2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FC2DD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Technology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F34EAF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Architectural Justification</w:t>
            </w:r>
          </w:p>
        </w:tc>
      </w:tr>
      <w:tr w:rsidR="00D3361B" w:rsidRPr="00D3361B" w14:paraId="475A7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121B8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Core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74651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Node.js (TypeScript)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D16D49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High concurrency for I/O heavy API polling; native JSON handling.</w:t>
            </w:r>
          </w:p>
        </w:tc>
      </w:tr>
      <w:tr w:rsidR="00D3361B" w:rsidRPr="00D3361B" w14:paraId="23062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C244F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9E968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BF441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Guaranteed at-least-once delivery; decouples systems to handle downtime.</w:t>
            </w:r>
          </w:p>
        </w:tc>
      </w:tr>
      <w:tr w:rsidR="00D3361B" w:rsidRPr="00D3361B" w14:paraId="2E151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886F3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Cache &amp;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DFB68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2AA89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Microsecond latency for idempotency checks and conflict-window buffering.</w:t>
            </w:r>
          </w:p>
        </w:tc>
      </w:tr>
      <w:tr w:rsidR="00D3361B" w:rsidRPr="00D3361B" w14:paraId="3B9E0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B3F53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Translation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95CF3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proofErr w:type="spellStart"/>
            <w:r w:rsidRPr="00D3361B">
              <w:rPr>
                <w:rFonts w:ascii="Times New Roman" w:hAnsi="Times New Roman" w:cs="Times New Roman"/>
              </w:rPr>
              <w:t>JSONata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F8B41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Lightweight, deterministic data transformation language; completely AI-free at runtime.</w:t>
            </w:r>
          </w:p>
        </w:tc>
      </w:tr>
      <w:tr w:rsidR="00D3361B" w:rsidRPr="00D3361B" w14:paraId="13D7A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A8F3A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Audit Ledger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570B8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523C14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</w:rPr>
              <w:t>ACID compliance; robust JSONB column support for storing complex event payloads.</w:t>
            </w:r>
          </w:p>
        </w:tc>
      </w:tr>
    </w:tbl>
    <w:p w14:paraId="52505534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8. Risks, Trade-offs, and Mitigations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4"/>
        <w:gridCol w:w="4916"/>
      </w:tblGrid>
      <w:tr w:rsidR="00D3361B" w:rsidRPr="00D3361B" w14:paraId="77043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19BC2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lastRenderedPageBreak/>
              <w:t>Identified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14295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Proposed Mitigation</w:t>
            </w:r>
          </w:p>
        </w:tc>
      </w:tr>
      <w:tr w:rsidR="00D3361B" w:rsidRPr="00D3361B" w14:paraId="27EAA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40BDD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Legacy System DoS:</w:t>
            </w:r>
            <w:r w:rsidRPr="00D3361B">
              <w:rPr>
                <w:rFonts w:ascii="Times New Roman" w:hAnsi="Times New Roman" w:cs="Times New Roman"/>
              </w:rPr>
              <w:t xml:space="preserve"> Aggressive polling to detect changes could crash older, fragile government servers.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81001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Adaptive Rate-Limiting:</w:t>
            </w:r>
            <w:r w:rsidRPr="00D3361B">
              <w:rPr>
                <w:rFonts w:ascii="Times New Roman" w:hAnsi="Times New Roman" w:cs="Times New Roman"/>
              </w:rPr>
              <w:t xml:space="preserve"> Implement dynamic polling intervals. High-risk legacy endpoints will be polled exclusively during off-peak hours or utilizing batched queries.</w:t>
            </w:r>
          </w:p>
        </w:tc>
      </w:tr>
      <w:tr w:rsidR="00D3361B" w:rsidRPr="00D3361B" w14:paraId="20F68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C6891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Silent Schema Drift:</w:t>
            </w:r>
            <w:r w:rsidRPr="00D3361B">
              <w:rPr>
                <w:rFonts w:ascii="Times New Roman" w:hAnsi="Times New Roman" w:cs="Times New Roman"/>
              </w:rPr>
              <w:t xml:space="preserve"> A department changes their API structure without notice, breaking the </w:t>
            </w:r>
            <w:proofErr w:type="spellStart"/>
            <w:r w:rsidRPr="00D3361B">
              <w:rPr>
                <w:rFonts w:ascii="Times New Roman" w:hAnsi="Times New Roman" w:cs="Times New Roman"/>
              </w:rPr>
              <w:t>JSONata</w:t>
            </w:r>
            <w:proofErr w:type="spellEnd"/>
            <w:r w:rsidRPr="00D3361B">
              <w:rPr>
                <w:rFonts w:ascii="Times New Roman" w:hAnsi="Times New Roman" w:cs="Times New Roman"/>
              </w:rPr>
              <w:t xml:space="preserve"> translation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47C70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Dead Letter Queues (DLQ):</w:t>
            </w:r>
            <w:r w:rsidRPr="00D3361B">
              <w:rPr>
                <w:rFonts w:ascii="Times New Roman" w:hAnsi="Times New Roman" w:cs="Times New Roman"/>
              </w:rPr>
              <w:t xml:space="preserve"> Strict schema validation at the ingress adapter. Malformed payloads fail gracefully, are routed to a DLQ, and trigger an admin alert without dropping the data.</w:t>
            </w:r>
          </w:p>
        </w:tc>
      </w:tr>
      <w:tr w:rsidR="00D3361B" w:rsidRPr="00D3361B" w14:paraId="639FA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9B9CF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Security Misconfigurations:</w:t>
            </w:r>
            <w:r w:rsidRPr="00D3361B">
              <w:rPr>
                <w:rFonts w:ascii="Times New Roman" w:hAnsi="Times New Roman" w:cs="Times New Roman"/>
              </w:rPr>
              <w:t xml:space="preserve"> Accidental exposure of system credentials during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EA0A73" w14:textId="77777777" w:rsidR="00D3361B" w:rsidRPr="00D3361B" w:rsidRDefault="00D3361B" w:rsidP="00D3361B">
            <w:pPr>
              <w:spacing w:before="240" w:after="0"/>
              <w:rPr>
                <w:rFonts w:ascii="Times New Roman" w:hAnsi="Times New Roman" w:cs="Times New Roman"/>
              </w:rPr>
            </w:pPr>
            <w:r w:rsidRPr="00D3361B">
              <w:rPr>
                <w:rFonts w:ascii="Times New Roman" w:hAnsi="Times New Roman" w:cs="Times New Roman"/>
                <w:b/>
                <w:bCs/>
              </w:rPr>
              <w:t>Strict Environment Control:</w:t>
            </w:r>
            <w:r w:rsidRPr="00D3361B">
              <w:rPr>
                <w:rFonts w:ascii="Times New Roman" w:hAnsi="Times New Roman" w:cs="Times New Roman"/>
              </w:rPr>
              <w:t xml:space="preserve"> All credentials and variables managed strictly via secure .env files. Absolutely no </w:t>
            </w:r>
            <w:proofErr w:type="gramStart"/>
            <w:r w:rsidRPr="00D3361B">
              <w:rPr>
                <w:rFonts w:ascii="Times New Roman" w:hAnsi="Times New Roman" w:cs="Times New Roman"/>
              </w:rPr>
              <w:t>open .properties</w:t>
            </w:r>
            <w:proofErr w:type="gramEnd"/>
            <w:r w:rsidRPr="00D3361B">
              <w:rPr>
                <w:rFonts w:ascii="Times New Roman" w:hAnsi="Times New Roman" w:cs="Times New Roman"/>
              </w:rPr>
              <w:t xml:space="preserve"> files or hardcoded secrets.</w:t>
            </w:r>
          </w:p>
        </w:tc>
      </w:tr>
    </w:tbl>
    <w:p w14:paraId="7EAAB8B8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  <w:b/>
          <w:bCs/>
        </w:rPr>
      </w:pPr>
      <w:r w:rsidRPr="00D3361B">
        <w:rPr>
          <w:rFonts w:ascii="Times New Roman" w:hAnsi="Times New Roman" w:cs="Times New Roman"/>
          <w:b/>
          <w:bCs/>
        </w:rPr>
        <w:t>9. Round 2 Implementation Plan (Sandbox)</w:t>
      </w:r>
    </w:p>
    <w:p w14:paraId="767D55D7" w14:textId="77777777" w:rsidR="00D3361B" w:rsidRPr="00D3361B" w:rsidRDefault="00D3361B" w:rsidP="00D3361B">
      <w:p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</w:rPr>
        <w:t xml:space="preserve">For the prototype phase, we will construct a self-contained, </w:t>
      </w:r>
      <w:proofErr w:type="spellStart"/>
      <w:r w:rsidRPr="00D3361B">
        <w:rPr>
          <w:rFonts w:ascii="Times New Roman" w:hAnsi="Times New Roman" w:cs="Times New Roman"/>
        </w:rPr>
        <w:t>Dockerized</w:t>
      </w:r>
      <w:proofErr w:type="spellEnd"/>
      <w:r w:rsidRPr="00D3361B">
        <w:rPr>
          <w:rFonts w:ascii="Times New Roman" w:hAnsi="Times New Roman" w:cs="Times New Roman"/>
        </w:rPr>
        <w:t xml:space="preserve"> ecosystem simulating the government infrastructure:</w:t>
      </w:r>
    </w:p>
    <w:p w14:paraId="415301A1" w14:textId="77777777" w:rsidR="00D3361B" w:rsidRPr="00D3361B" w:rsidRDefault="00D3361B" w:rsidP="00D3361B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Infrastructure Setup:</w:t>
      </w:r>
      <w:r w:rsidRPr="00D3361B">
        <w:rPr>
          <w:rFonts w:ascii="Times New Roman" w:hAnsi="Times New Roman" w:cs="Times New Roman"/>
        </w:rPr>
        <w:t xml:space="preserve"> Provision local containers for Kafka, Redis, and PostgreSQL. Environment variables managed strictly via .env files.</w:t>
      </w:r>
    </w:p>
    <w:p w14:paraId="28726651" w14:textId="77777777" w:rsidR="00D3361B" w:rsidRPr="00D3361B" w:rsidRDefault="00D3361B" w:rsidP="00D3361B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Mock SWS &amp; Legacy Endpoints:</w:t>
      </w:r>
      <w:r w:rsidRPr="00D3361B">
        <w:rPr>
          <w:rFonts w:ascii="Times New Roman" w:hAnsi="Times New Roman" w:cs="Times New Roman"/>
        </w:rPr>
        <w:t xml:space="preserve"> Build lightweight Express.js APIs representing SWS (JSON standard) and two distinct legacy departments (JSON and XML endpoints). Populate these with deterministically scrambled, synthetic business data.</w:t>
      </w:r>
    </w:p>
    <w:p w14:paraId="47CBE952" w14:textId="77777777" w:rsidR="00D3361B" w:rsidRPr="00D3361B" w:rsidRDefault="00D3361B" w:rsidP="00D3361B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Core Pipeline Construction:</w:t>
      </w:r>
      <w:r w:rsidRPr="00D3361B">
        <w:rPr>
          <w:rFonts w:ascii="Times New Roman" w:hAnsi="Times New Roman" w:cs="Times New Roman"/>
        </w:rPr>
        <w:t xml:space="preserve"> Implement the bidirectional Node.js adapters, the </w:t>
      </w:r>
      <w:proofErr w:type="spellStart"/>
      <w:r w:rsidRPr="00D3361B">
        <w:rPr>
          <w:rFonts w:ascii="Times New Roman" w:hAnsi="Times New Roman" w:cs="Times New Roman"/>
        </w:rPr>
        <w:t>JSONata</w:t>
      </w:r>
      <w:proofErr w:type="spellEnd"/>
      <w:r w:rsidRPr="00D3361B">
        <w:rPr>
          <w:rFonts w:ascii="Times New Roman" w:hAnsi="Times New Roman" w:cs="Times New Roman"/>
        </w:rPr>
        <w:t xml:space="preserve"> translation registry, and the Redis-backed polling mechanism.</w:t>
      </w:r>
    </w:p>
    <w:p w14:paraId="74C2DBF5" w14:textId="77777777" w:rsidR="00D3361B" w:rsidRPr="00D3361B" w:rsidRDefault="00D3361B" w:rsidP="00D3361B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</w:rPr>
      </w:pPr>
      <w:r w:rsidRPr="00D3361B">
        <w:rPr>
          <w:rFonts w:ascii="Times New Roman" w:hAnsi="Times New Roman" w:cs="Times New Roman"/>
          <w:b/>
          <w:bCs/>
        </w:rPr>
        <w:t>Interactive Demonstration:</w:t>
      </w:r>
      <w:r w:rsidRPr="00D3361B">
        <w:rPr>
          <w:rFonts w:ascii="Times New Roman" w:hAnsi="Times New Roman" w:cs="Times New Roman"/>
        </w:rPr>
        <w:t xml:space="preserve"> Execute a live demonstration showcasing an end-to-end translation from SWS to a mock legacy system, a "ghost update" caught by the polling adapter, and a forced simultaneous update resolved automatically by the Authority Matrix.</w:t>
      </w:r>
    </w:p>
    <w:p w14:paraId="2307D4B1" w14:textId="77777777" w:rsidR="00000000" w:rsidRPr="00D3361B" w:rsidRDefault="00000000" w:rsidP="00D3361B">
      <w:pPr>
        <w:spacing w:before="240" w:after="0"/>
        <w:rPr>
          <w:rFonts w:ascii="Times New Roman" w:hAnsi="Times New Roman" w:cs="Times New Roman"/>
        </w:rPr>
      </w:pPr>
    </w:p>
    <w:sectPr w:rsidR="00CC5D7B" w:rsidRPr="00D33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BB0"/>
    <w:multiLevelType w:val="multilevel"/>
    <w:tmpl w:val="AB6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51C6"/>
    <w:multiLevelType w:val="multilevel"/>
    <w:tmpl w:val="D428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928DF"/>
    <w:multiLevelType w:val="multilevel"/>
    <w:tmpl w:val="61C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B0EC9"/>
    <w:multiLevelType w:val="multilevel"/>
    <w:tmpl w:val="E4C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A350B"/>
    <w:multiLevelType w:val="multilevel"/>
    <w:tmpl w:val="3F4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B7BDB"/>
    <w:multiLevelType w:val="multilevel"/>
    <w:tmpl w:val="916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82118"/>
    <w:multiLevelType w:val="multilevel"/>
    <w:tmpl w:val="C01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A0102"/>
    <w:multiLevelType w:val="multilevel"/>
    <w:tmpl w:val="AFF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5614D"/>
    <w:multiLevelType w:val="multilevel"/>
    <w:tmpl w:val="26C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12658"/>
    <w:multiLevelType w:val="multilevel"/>
    <w:tmpl w:val="93F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C1259"/>
    <w:multiLevelType w:val="multilevel"/>
    <w:tmpl w:val="3A1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A55A6"/>
    <w:multiLevelType w:val="multilevel"/>
    <w:tmpl w:val="108E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247618"/>
    <w:multiLevelType w:val="multilevel"/>
    <w:tmpl w:val="6B56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D2556"/>
    <w:multiLevelType w:val="multilevel"/>
    <w:tmpl w:val="18D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F1AE6"/>
    <w:multiLevelType w:val="multilevel"/>
    <w:tmpl w:val="388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C2982"/>
    <w:multiLevelType w:val="multilevel"/>
    <w:tmpl w:val="383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18849">
    <w:abstractNumId w:val="10"/>
  </w:num>
  <w:num w:numId="2" w16cid:durableId="956253177">
    <w:abstractNumId w:val="3"/>
  </w:num>
  <w:num w:numId="3" w16cid:durableId="2103330538">
    <w:abstractNumId w:val="13"/>
  </w:num>
  <w:num w:numId="4" w16cid:durableId="1285622735">
    <w:abstractNumId w:val="7"/>
  </w:num>
  <w:num w:numId="5" w16cid:durableId="903217613">
    <w:abstractNumId w:val="5"/>
  </w:num>
  <w:num w:numId="6" w16cid:durableId="1817527647">
    <w:abstractNumId w:val="9"/>
  </w:num>
  <w:num w:numId="7" w16cid:durableId="1938826621">
    <w:abstractNumId w:val="0"/>
  </w:num>
  <w:num w:numId="8" w16cid:durableId="1763380940">
    <w:abstractNumId w:val="11"/>
  </w:num>
  <w:num w:numId="9" w16cid:durableId="2139175909">
    <w:abstractNumId w:val="15"/>
  </w:num>
  <w:num w:numId="10" w16cid:durableId="835071520">
    <w:abstractNumId w:val="14"/>
  </w:num>
  <w:num w:numId="11" w16cid:durableId="2061517095">
    <w:abstractNumId w:val="6"/>
  </w:num>
  <w:num w:numId="12" w16cid:durableId="1178230798">
    <w:abstractNumId w:val="2"/>
  </w:num>
  <w:num w:numId="13" w16cid:durableId="146670482">
    <w:abstractNumId w:val="4"/>
  </w:num>
  <w:num w:numId="14" w16cid:durableId="2096897110">
    <w:abstractNumId w:val="1"/>
  </w:num>
  <w:num w:numId="15" w16cid:durableId="775321378">
    <w:abstractNumId w:val="8"/>
  </w:num>
  <w:num w:numId="16" w16cid:durableId="1170290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1B"/>
    <w:rsid w:val="00450ACC"/>
    <w:rsid w:val="006E7377"/>
    <w:rsid w:val="00905DF9"/>
    <w:rsid w:val="00D3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A0BF"/>
  <w15:chartTrackingRefBased/>
  <w15:docId w15:val="{6C6FDDE4-D1B7-463C-B4AC-89B6C900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 AIDS A Aayush Gupta</dc:creator>
  <cp:keywords/>
  <dc:description/>
  <cp:lastModifiedBy>35 AIDS A Aayush Gupta</cp:lastModifiedBy>
  <cp:revision>1</cp:revision>
  <dcterms:created xsi:type="dcterms:W3CDTF">2026-05-03T15:13:00Z</dcterms:created>
  <dcterms:modified xsi:type="dcterms:W3CDTF">2026-05-03T15:16:00Z</dcterms:modified>
</cp:coreProperties>
</file>