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Environment Isolation for Dev / Test / Prod</w:t>
      </w:r>
    </w:p>
    <w:p>
      <w:pPr>
        <w:spacing w:after="60"/>
      </w:pPr>
      <w:r>
        <w:rPr>
          <w:rFonts w:ascii="Arial" w:cs="Arial" w:eastAsia="Arial" w:hAnsi="Arial"/>
          <w:b/>
          <w:bCs/>
          <w:color w:val="1F3A5F"/>
          <w:sz w:val="40"/>
          <w:szCs w:val="40"/>
        </w:rPr>
        <w:t xml:space="preserve">Using VPC Design and IAM</w:t>
      </w:r>
    </w:p>
    <w:p>
      <w:pPr>
        <w:pBdr>
          <w:bottom w:val="single" w:color="1F3A5F" w:sz="8" w:space="6"/>
        </w:pBdr>
        <w:spacing w:after="200"/>
      </w:pPr>
      <w:r>
        <w:rPr>
          <w:rFonts w:ascii="Arial" w:cs="Arial" w:eastAsia="Arial" w:hAnsi="Arial"/>
          <w:color w:val="5A6472"/>
          <w:sz w:val="24"/>
          <w:szCs w:val="24"/>
        </w:rPr>
        <w:t xml:space="preserve">Architecture and Build Guide</w:t>
      </w:r>
    </w:p>
    <w:p>
      <w:pPr>
        <w:pStyle w:val="Heading1"/>
      </w:pPr>
      <w:r>
        <w:t xml:space="preserve">1. Overview</w:t>
      </w:r>
    </w:p>
    <w:p>
      <w:pPr>
        <w:spacing w:after="120" w:line="288"/>
      </w:pPr>
      <w:r>
        <w:rPr>
          <w:rFonts w:ascii="Arial" w:cs="Arial" w:eastAsia="Arial" w:hAnsi="Arial"/>
          <w:sz w:val="21"/>
          <w:szCs w:val="21"/>
        </w:rPr>
        <w:t xml:space="preserve">This project implements strict environment isolation inside a single AWS account. Development, Test/UAT and Production each get their own VPC, and access is controlled through IAM roles that are assumed with AWS STS. This balances governance and security with cost and operational simplicity.</w:t>
      </w:r>
    </w:p>
    <w:p>
      <w:pPr>
        <w:spacing w:after="120" w:line="288"/>
      </w:pPr>
      <w:r>
        <w:rPr>
          <w:rFonts w:ascii="Arial" w:cs="Arial" w:eastAsia="Arial" w:hAnsi="Arial"/>
          <w:sz w:val="21"/>
          <w:szCs w:val="21"/>
        </w:rPr>
        <w:t xml:space="preserve">Each environment is isolated at both the network layer and the identity layer, so a failure, misconfiguration or unauthorized access in one environment does not affect the others, especially Production.</w:t>
      </w:r>
    </w:p>
    <w:p>
      <w:pPr>
        <w:pStyle w:val="Heading1"/>
      </w:pPr>
      <w:r>
        <w:t xml:space="preserve">2. Isolation Boundaries</w:t>
      </w:r>
    </w:p>
    <w:p>
      <w:pPr>
        <w:keepNext/>
        <w:spacing w:after="60" w:before="160"/>
      </w:pPr>
      <w:r>
        <w:rPr>
          <w:rFonts w:ascii="Arial" w:cs="Arial" w:eastAsia="Arial" w:hAnsi="Arial"/>
          <w:b/>
          <w:bCs/>
          <w:color w:val="1F3A5F"/>
          <w:sz w:val="22"/>
          <w:szCs w:val="22"/>
        </w:rPr>
        <w:t xml:space="preserve">Network</w:t>
      </w:r>
    </w:p>
    <w:p>
      <w:pPr>
        <w:pStyle w:val="ListParagraph"/>
        <w:numPr>
          <w:ilvl w:val="0"/>
          <w:numId w:val="2"/>
        </w:numPr>
        <w:spacing w:after="60" w:line="276"/>
      </w:pPr>
      <w:r>
        <w:rPr>
          <w:rFonts w:ascii="Arial" w:cs="Arial" w:eastAsia="Arial" w:hAnsi="Arial"/>
          <w:sz w:val="21"/>
          <w:szCs w:val="21"/>
        </w:rPr>
        <w:t xml:space="preserve">Each environment has a dedicated VPC with a unique, non overlapping CIDR block.</w:t>
      </w:r>
    </w:p>
    <w:p>
      <w:pPr>
        <w:pStyle w:val="ListParagraph"/>
        <w:numPr>
          <w:ilvl w:val="0"/>
          <w:numId w:val="2"/>
        </w:numPr>
        <w:spacing w:after="60" w:line="276"/>
      </w:pPr>
      <w:r>
        <w:rPr>
          <w:rFonts w:ascii="Arial" w:cs="Arial" w:eastAsia="Arial" w:hAnsi="Arial"/>
          <w:sz w:val="21"/>
          <w:szCs w:val="21"/>
        </w:rPr>
        <w:t xml:space="preserve">No VPC peering, Transit Gateway or shared routing between Dev, Test and Prod.</w:t>
      </w:r>
    </w:p>
    <w:p>
      <w:pPr>
        <w:pStyle w:val="ListParagraph"/>
        <w:numPr>
          <w:ilvl w:val="0"/>
          <w:numId w:val="2"/>
        </w:numPr>
        <w:spacing w:after="60" w:line="276"/>
      </w:pPr>
      <w:r>
        <w:rPr>
          <w:rFonts w:ascii="Arial" w:cs="Arial" w:eastAsia="Arial" w:hAnsi="Arial"/>
          <w:sz w:val="21"/>
          <w:szCs w:val="21"/>
        </w:rPr>
        <w:t xml:space="preserve">Each VPC has its own route tables, subnets, security groups and internet gateway.</w:t>
      </w:r>
    </w:p>
    <w:p>
      <w:pPr>
        <w:keepNext/>
        <w:spacing w:after="60" w:before="160"/>
      </w:pPr>
      <w:r>
        <w:rPr>
          <w:rFonts w:ascii="Arial" w:cs="Arial" w:eastAsia="Arial" w:hAnsi="Arial"/>
          <w:b/>
          <w:bCs/>
          <w:color w:val="1F3A5F"/>
          <w:sz w:val="22"/>
          <w:szCs w:val="22"/>
        </w:rPr>
        <w:t xml:space="preserve">Identity and access</w:t>
      </w:r>
    </w:p>
    <w:p>
      <w:pPr>
        <w:pStyle w:val="ListParagraph"/>
        <w:numPr>
          <w:ilvl w:val="0"/>
          <w:numId w:val="2"/>
        </w:numPr>
        <w:spacing w:after="60" w:line="276"/>
      </w:pPr>
      <w:r>
        <w:rPr>
          <w:rFonts w:ascii="Arial" w:cs="Arial" w:eastAsia="Arial" w:hAnsi="Arial"/>
          <w:sz w:val="21"/>
          <w:szCs w:val="21"/>
        </w:rPr>
        <w:t xml:space="preserve">No direct IAM user access to Production resources.</w:t>
      </w:r>
    </w:p>
    <w:p>
      <w:pPr>
        <w:pStyle w:val="ListParagraph"/>
        <w:numPr>
          <w:ilvl w:val="0"/>
          <w:numId w:val="2"/>
        </w:numPr>
        <w:spacing w:after="60" w:line="276"/>
      </w:pPr>
      <w:r>
        <w:rPr>
          <w:rFonts w:ascii="Arial" w:cs="Arial" w:eastAsia="Arial" w:hAnsi="Arial"/>
          <w:sz w:val="21"/>
          <w:szCs w:val="21"/>
        </w:rPr>
        <w:t xml:space="preserve">Access is granted only through IAM roles using STS </w:t>
      </w:r>
      <w:r>
        <w:rPr>
          <w:rFonts w:ascii="Courier New" w:cs="Courier New" w:eastAsia="Courier New" w:hAnsi="Courier New"/>
          <w:sz w:val="19"/>
          <w:szCs w:val="19"/>
        </w:rPr>
        <w:t xml:space="preserve">AssumeRole</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One role per environment: </w:t>
      </w:r>
      <w:r>
        <w:rPr>
          <w:rFonts w:ascii="Courier New" w:cs="Courier New" w:eastAsia="Courier New" w:hAnsi="Courier New"/>
          <w:sz w:val="19"/>
          <w:szCs w:val="19"/>
        </w:rPr>
        <w:t xml:space="preserve">Dev-Access-Role</w:t>
      </w:r>
      <w:r>
        <w:rPr>
          <w:rFonts w:ascii="Arial" w:cs="Arial" w:eastAsia="Arial" w:hAnsi="Arial"/>
          <w:sz w:val="21"/>
          <w:szCs w:val="21"/>
        </w:rPr>
        <w:t xml:space="preserve">, </w:t>
      </w:r>
      <w:r>
        <w:rPr>
          <w:rFonts w:ascii="Courier New" w:cs="Courier New" w:eastAsia="Courier New" w:hAnsi="Courier New"/>
          <w:sz w:val="19"/>
          <w:szCs w:val="19"/>
        </w:rPr>
        <w:t xml:space="preserve">Test-Access-Role</w:t>
      </w:r>
      <w:r>
        <w:rPr>
          <w:rFonts w:ascii="Arial" w:cs="Arial" w:eastAsia="Arial" w:hAnsi="Arial"/>
          <w:sz w:val="21"/>
          <w:szCs w:val="21"/>
        </w:rPr>
        <w:t xml:space="preserve"> and </w:t>
      </w:r>
      <w:r>
        <w:rPr>
          <w:rFonts w:ascii="Courier New" w:cs="Courier New" w:eastAsia="Courier New" w:hAnsi="Courier New"/>
          <w:sz w:val="19"/>
          <w:szCs w:val="19"/>
        </w:rPr>
        <w:t xml:space="preserve">Prod-Access-Role</w:t>
      </w:r>
      <w:r>
        <w:rPr>
          <w:rFonts w:ascii="Arial" w:cs="Arial" w:eastAsia="Arial" w:hAnsi="Arial"/>
          <w:sz w:val="21"/>
          <w:szCs w:val="21"/>
        </w:rPr>
        <w:t xml:space="preserve">.</w:t>
      </w:r>
    </w:p>
    <w:p>
      <w:pPr>
        <w:keepNext/>
        <w:spacing w:after="60" w:before="160"/>
      </w:pPr>
      <w:r>
        <w:rPr>
          <w:rFonts w:ascii="Arial" w:cs="Arial" w:eastAsia="Arial" w:hAnsi="Arial"/>
          <w:b/>
          <w:bCs/>
          <w:color w:val="1F3A5F"/>
          <w:sz w:val="22"/>
          <w:szCs w:val="22"/>
        </w:rPr>
        <w:t xml:space="preserve">Permissions</w:t>
      </w:r>
    </w:p>
    <w:p>
      <w:pPr>
        <w:pStyle w:val="ListParagraph"/>
        <w:numPr>
          <w:ilvl w:val="0"/>
          <w:numId w:val="2"/>
        </w:numPr>
        <w:spacing w:after="60" w:line="276"/>
      </w:pPr>
      <w:r>
        <w:rPr>
          <w:rFonts w:ascii="Arial" w:cs="Arial" w:eastAsia="Arial" w:hAnsi="Arial"/>
          <w:sz w:val="21"/>
          <w:szCs w:val="21"/>
        </w:rPr>
        <w:t xml:space="preserve">Write access is restricted with tag based IAM policies.</w:t>
      </w:r>
    </w:p>
    <w:p>
      <w:pPr>
        <w:pStyle w:val="ListParagraph"/>
        <w:numPr>
          <w:ilvl w:val="0"/>
          <w:numId w:val="2"/>
        </w:numPr>
        <w:spacing w:after="60" w:line="276"/>
      </w:pPr>
      <w:r>
        <w:rPr>
          <w:rFonts w:ascii="Arial" w:cs="Arial" w:eastAsia="Arial" w:hAnsi="Arial"/>
          <w:sz w:val="21"/>
          <w:szCs w:val="21"/>
        </w:rPr>
        <w:t xml:space="preserve">A role can modify only resources tagged with its own </w:t>
      </w:r>
      <w:r>
        <w:rPr>
          <w:rFonts w:ascii="Courier New" w:cs="Courier New" w:eastAsia="Courier New" w:hAnsi="Courier New"/>
          <w:sz w:val="19"/>
          <w:szCs w:val="19"/>
        </w:rPr>
        <w:t xml:space="preserve">Environment</w:t>
      </w:r>
      <w:r>
        <w:rPr>
          <w:rFonts w:ascii="Arial" w:cs="Arial" w:eastAsia="Arial" w:hAnsi="Arial"/>
          <w:sz w:val="21"/>
          <w:szCs w:val="21"/>
        </w:rPr>
        <w:t xml:space="preserve"> value. For example, the Prod role only touches resources tagged </w:t>
      </w:r>
      <w:r>
        <w:rPr>
          <w:rFonts w:ascii="Courier New" w:cs="Courier New" w:eastAsia="Courier New" w:hAnsi="Courier New"/>
          <w:sz w:val="19"/>
          <w:szCs w:val="19"/>
        </w:rPr>
        <w:t xml:space="preserve">Environment=Prod</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All access is temporary (1 hour maximum session) and auditable.</w:t>
      </w:r>
    </w:p>
    <w:p>
      <w:pPr>
        <w:keepNext/>
        <w:spacing w:after="60" w:before="160"/>
      </w:pPr>
      <w:r>
        <w:rPr>
          <w:rFonts w:ascii="Arial" w:cs="Arial" w:eastAsia="Arial" w:hAnsi="Arial"/>
          <w:b/>
          <w:bCs/>
          <w:color w:val="1F3A5F"/>
          <w:sz w:val="22"/>
          <w:szCs w:val="22"/>
        </w:rPr>
        <w:t xml:space="preserve">Why this design</w:t>
      </w:r>
    </w:p>
    <w:p>
      <w:pPr>
        <w:pStyle w:val="ListParagraph"/>
        <w:numPr>
          <w:ilvl w:val="0"/>
          <w:numId w:val="2"/>
        </w:numPr>
        <w:spacing w:after="60" w:line="276"/>
      </w:pPr>
      <w:r>
        <w:rPr>
          <w:rFonts w:ascii="Arial" w:cs="Arial" w:eastAsia="Arial" w:hAnsi="Arial"/>
          <w:sz w:val="21"/>
          <w:szCs w:val="21"/>
        </w:rPr>
        <w:t xml:space="preserve">Prevents accidental or unauthorized access to Production.</w:t>
      </w:r>
    </w:p>
    <w:p>
      <w:pPr>
        <w:pStyle w:val="ListParagraph"/>
        <w:numPr>
          <w:ilvl w:val="0"/>
          <w:numId w:val="2"/>
        </w:numPr>
        <w:spacing w:after="60" w:line="276"/>
      </w:pPr>
      <w:r>
        <w:rPr>
          <w:rFonts w:ascii="Arial" w:cs="Arial" w:eastAsia="Arial" w:hAnsi="Arial"/>
          <w:sz w:val="21"/>
          <w:szCs w:val="21"/>
        </w:rPr>
        <w:t xml:space="preserve">Enforces separation of duties.</w:t>
      </w:r>
    </w:p>
    <w:p>
      <w:pPr>
        <w:pStyle w:val="ListParagraph"/>
        <w:numPr>
          <w:ilvl w:val="0"/>
          <w:numId w:val="2"/>
        </w:numPr>
        <w:spacing w:after="60" w:line="276"/>
      </w:pPr>
      <w:r>
        <w:rPr>
          <w:rFonts w:ascii="Arial" w:cs="Arial" w:eastAsia="Arial" w:hAnsi="Arial"/>
          <w:sz w:val="21"/>
          <w:szCs w:val="21"/>
        </w:rPr>
        <w:t xml:space="preserve">Removes long lived Production credentials.</w:t>
      </w:r>
    </w:p>
    <w:p>
      <w:pPr>
        <w:pStyle w:val="ListParagraph"/>
        <w:numPr>
          <w:ilvl w:val="0"/>
          <w:numId w:val="2"/>
        </w:numPr>
        <w:spacing w:after="60" w:line="276"/>
      </w:pPr>
      <w:r>
        <w:rPr>
          <w:rFonts w:ascii="Arial" w:cs="Arial" w:eastAsia="Arial" w:hAnsi="Arial"/>
          <w:sz w:val="21"/>
          <w:szCs w:val="21"/>
        </w:rPr>
        <w:t xml:space="preserve">Supports auditing through AWS CloudTrail.</w:t>
      </w:r>
    </w:p>
    <w:p>
      <w:pPr>
        <w:pStyle w:val="ListParagraph"/>
        <w:numPr>
          <w:ilvl w:val="0"/>
          <w:numId w:val="2"/>
        </w:numPr>
        <w:spacing w:after="60" w:line="276"/>
      </w:pPr>
      <w:r>
        <w:rPr>
          <w:rFonts w:ascii="Arial" w:cs="Arial" w:eastAsia="Arial" w:hAnsi="Arial"/>
          <w:sz w:val="21"/>
          <w:szCs w:val="21"/>
        </w:rPr>
        <w:t xml:space="preserve">Reduces the blast radius of mistakes.</w:t>
      </w:r>
    </w:p>
    <w:p>
      <w:r>
        <w:br w:type="page"/>
      </w:r>
    </w:p>
    <w:p>
      <w:pPr>
        <w:pStyle w:val="Heading1"/>
      </w:pPr>
      <w:r>
        <w:t xml:space="preserve">3. Architecture</w:t>
      </w:r>
    </w:p>
    <w:p>
      <w:pPr>
        <w:spacing w:after="120" w:line="288"/>
      </w:pPr>
      <w:r>
        <w:rPr>
          <w:rFonts w:ascii="Arial" w:cs="Arial" w:eastAsia="Arial" w:hAnsi="Arial"/>
          <w:sz w:val="21"/>
          <w:szCs w:val="21"/>
        </w:rPr>
        <w:t xml:space="preserve">Three isolated VPCs sit inside one AWS account. An IAM user or SSO identity assumes an environment specific role through STS, and each role can act only on its own environment. There is no peering or routing between the VPCs.</w:t>
      </w:r>
    </w:p>
    <w:p>
      <w:pPr>
        <w:spacing w:after="80" w:before="120"/>
        <w:jc w:val="center"/>
      </w:pPr>
      <w:r>
        <w:drawing>
          <wp:inline distT="0" distB="0" distL="0" distR="0">
            <wp:extent cx="5905500" cy="3743325"/>
            <wp:effectExtent t="0" r="0" b="0" l="0"/>
            <wp:docPr id="1" name="architecture" descr="Three isolated VPCs (Dev, Test, Prod) in one AWS account, each with a public and private subnet, accessed through separate IAM roles assumed with STS. CloudTrail logs activity across all environments."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43325"/>
                    </a:xfrm>
                    <a:prstGeom prst="rect">
                      <a:avLst/>
                    </a:prstGeom>
                  </pic:spPr>
                </pic:pic>
              </a:graphicData>
            </a:graphic>
          </wp:inline>
        </w:drawing>
      </w:r>
    </w:p>
    <w:p>
      <w:pPr>
        <w:spacing w:after="160"/>
        <w:jc w:val="center"/>
      </w:pPr>
      <w:r>
        <w:rPr>
          <w:rFonts w:ascii="Arial" w:cs="Arial" w:eastAsia="Arial" w:hAnsi="Arial"/>
          <w:i/>
          <w:iCs/>
          <w:color w:val="5A6472"/>
          <w:sz w:val="18"/>
          <w:szCs w:val="18"/>
        </w:rPr>
        <w:t xml:space="preserve">Figure 1. Environment isolation architecture (CIDR ranges are examples).</w:t>
      </w:r>
    </w:p>
    <w:p>
      <w:pPr>
        <w:spacing w:after="120" w:line="288"/>
      </w:pPr>
      <w:r>
        <w:rPr>
          <w:rFonts w:ascii="Arial" w:cs="Arial" w:eastAsia="Arial" w:hAnsi="Arial"/>
          <w:sz w:val="21"/>
          <w:szCs w:val="21"/>
        </w:rPr>
        <w:t xml:space="preserve">Each VPC contains:</w:t>
      </w:r>
    </w:p>
    <w:p>
      <w:pPr>
        <w:pStyle w:val="ListParagraph"/>
        <w:numPr>
          <w:ilvl w:val="0"/>
          <w:numId w:val="2"/>
        </w:numPr>
        <w:spacing w:after="60" w:line="276"/>
      </w:pPr>
      <w:r>
        <w:rPr>
          <w:rFonts w:ascii="Arial" w:cs="Arial" w:eastAsia="Arial" w:hAnsi="Arial"/>
          <w:sz w:val="21"/>
          <w:szCs w:val="21"/>
        </w:rPr>
        <w:t xml:space="preserve">Public subnets for the load balancer</w:t>
      </w:r>
    </w:p>
    <w:p>
      <w:pPr>
        <w:pStyle w:val="ListParagraph"/>
        <w:numPr>
          <w:ilvl w:val="0"/>
          <w:numId w:val="2"/>
        </w:numPr>
        <w:spacing w:after="60" w:line="276"/>
      </w:pPr>
      <w:r>
        <w:rPr>
          <w:rFonts w:ascii="Arial" w:cs="Arial" w:eastAsia="Arial" w:hAnsi="Arial"/>
          <w:sz w:val="21"/>
          <w:szCs w:val="21"/>
        </w:rPr>
        <w:t xml:space="preserve">Private subnets for application and database workloads</w:t>
      </w:r>
    </w:p>
    <w:p>
      <w:pPr>
        <w:pStyle w:val="ListParagraph"/>
        <w:numPr>
          <w:ilvl w:val="0"/>
          <w:numId w:val="2"/>
        </w:numPr>
        <w:spacing w:after="60" w:line="276"/>
      </w:pPr>
      <w:r>
        <w:rPr>
          <w:rFonts w:ascii="Arial" w:cs="Arial" w:eastAsia="Arial" w:hAnsi="Arial"/>
          <w:sz w:val="21"/>
          <w:szCs w:val="21"/>
        </w:rPr>
        <w:t xml:space="preserve">A dedicated internet gateway</w:t>
      </w:r>
    </w:p>
    <w:p>
      <w:pPr>
        <w:pStyle w:val="ListParagraph"/>
        <w:numPr>
          <w:ilvl w:val="0"/>
          <w:numId w:val="2"/>
        </w:numPr>
        <w:spacing w:after="60" w:line="276"/>
      </w:pPr>
      <w:r>
        <w:rPr>
          <w:rFonts w:ascii="Arial" w:cs="Arial" w:eastAsia="Arial" w:hAnsi="Arial"/>
          <w:sz w:val="21"/>
          <w:szCs w:val="21"/>
        </w:rPr>
        <w:t xml:space="preserve">Environment specific route tables and security groups</w:t>
      </w:r>
    </w:p>
    <w:p>
      <w:pPr>
        <w:keepNext/>
        <w:spacing w:after="60" w:before="160"/>
      </w:pPr>
      <w:r>
        <w:rPr>
          <w:rFonts w:ascii="Arial" w:cs="Arial" w:eastAsia="Arial" w:hAnsi="Arial"/>
          <w:b/>
          <w:bCs/>
          <w:color w:val="1F3A5F"/>
          <w:sz w:val="22"/>
          <w:szCs w:val="22"/>
        </w:rPr>
        <w:t xml:space="preserve">Example CIDR plan</w:t>
      </w:r>
    </w:p>
    <w:p>
      <w:pPr>
        <w:spacing w:after="120" w:line="288"/>
      </w:pPr>
      <w:r>
        <w:rPr>
          <w:rFonts w:ascii="Arial" w:cs="Arial" w:eastAsia="Arial" w:hAnsi="Arial"/>
          <w:sz w:val="21"/>
          <w:szCs w:val="21"/>
        </w:rPr>
        <w:t xml:space="preserve">Use your own ranges and make sure they do not overlap.</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tcBorders>
              <w:top w:val="single" w:color="B8C2D0" w:sz="4"/>
              <w:left w:val="single" w:color="B8C2D0" w:sz="4"/>
              <w:bottom w:val="single" w:color="B8C2D0" w:sz="4"/>
              <w:right w:val="single" w:color="B8C2D0" w:sz="4"/>
            </w:tcBorders>
            <w:shd w:fill="DCE6F2" w:color="auto" w:val="clear"/>
            <w:tcMar>
              <w:top w:type="dxa" w:w="70"/>
              <w:left w:type="dxa" w:w="120"/>
              <w:bottom w:type="dxa" w:w="70"/>
              <w:right w:type="dxa" w:w="120"/>
            </w:tcMar>
          </w:tcPr>
          <w:p>
            <w:r>
              <w:rPr>
                <w:rFonts w:ascii="Arial" w:cs="Arial" w:eastAsia="Arial" w:hAnsi="Arial"/>
                <w:b/>
                <w:bCs/>
                <w:sz w:val="20"/>
                <w:szCs w:val="20"/>
              </w:rPr>
              <w:t xml:space="preserve">Environment</w:t>
            </w:r>
          </w:p>
        </w:tc>
        <w:tc>
          <w:tcPr>
            <w:tcW w:type="dxa" w:w="3200"/>
            <w:tcBorders>
              <w:top w:val="single" w:color="B8C2D0" w:sz="4"/>
              <w:left w:val="single" w:color="B8C2D0" w:sz="4"/>
              <w:bottom w:val="single" w:color="B8C2D0" w:sz="4"/>
              <w:right w:val="single" w:color="B8C2D0" w:sz="4"/>
            </w:tcBorders>
            <w:shd w:fill="DCE6F2" w:color="auto" w:val="clear"/>
            <w:tcMar>
              <w:top w:type="dxa" w:w="70"/>
              <w:left w:type="dxa" w:w="120"/>
              <w:bottom w:type="dxa" w:w="70"/>
              <w:right w:type="dxa" w:w="120"/>
            </w:tcMar>
          </w:tcPr>
          <w:p>
            <w:r>
              <w:rPr>
                <w:rFonts w:ascii="Arial" w:cs="Arial" w:eastAsia="Arial" w:hAnsi="Arial"/>
                <w:b/>
                <w:bCs/>
                <w:sz w:val="20"/>
                <w:szCs w:val="20"/>
              </w:rPr>
              <w:t xml:space="preserve">Example VPC CIDR</w:t>
            </w:r>
          </w:p>
        </w:tc>
      </w:tr>
      <w:tr>
        <w:tc>
          <w:tcPr>
            <w:tcW w:type="dxa" w:w="3200"/>
            <w:tcBorders>
              <w:top w:val="single" w:color="B8C2D0" w:sz="4"/>
              <w:left w:val="single" w:color="B8C2D0" w:sz="4"/>
              <w:bottom w:val="single" w:color="B8C2D0" w:sz="4"/>
              <w:right w:val="single" w:color="B8C2D0" w:sz="4"/>
            </w:tcBorders>
            <w:tcMar>
              <w:top w:type="dxa" w:w="70"/>
              <w:left w:type="dxa" w:w="120"/>
              <w:bottom w:type="dxa" w:w="70"/>
              <w:right w:type="dxa" w:w="120"/>
            </w:tcMar>
          </w:tcPr>
          <w:p>
            <w:r>
              <w:rPr>
                <w:rFonts w:ascii="Arial" w:cs="Arial" w:eastAsia="Arial" w:hAnsi="Arial"/>
                <w:b w:val="false"/>
                <w:bCs w:val="false"/>
                <w:sz w:val="20"/>
                <w:szCs w:val="20"/>
              </w:rPr>
              <w:t xml:space="preserve">Dev</w:t>
            </w:r>
          </w:p>
        </w:tc>
        <w:tc>
          <w:tcPr>
            <w:tcW w:type="dxa" w:w="3200"/>
            <w:tcBorders>
              <w:top w:val="single" w:color="B8C2D0" w:sz="4"/>
              <w:left w:val="single" w:color="B8C2D0" w:sz="4"/>
              <w:bottom w:val="single" w:color="B8C2D0" w:sz="4"/>
              <w:right w:val="single" w:color="B8C2D0" w:sz="4"/>
            </w:tcBorders>
            <w:tcMar>
              <w:top w:type="dxa" w:w="70"/>
              <w:left w:type="dxa" w:w="120"/>
              <w:bottom w:type="dxa" w:w="70"/>
              <w:right w:type="dxa" w:w="120"/>
            </w:tcMar>
          </w:tcPr>
          <w:p>
            <w:r>
              <w:rPr>
                <w:rFonts w:ascii="Arial" w:cs="Arial" w:eastAsia="Arial" w:hAnsi="Arial"/>
                <w:b w:val="false"/>
                <w:bCs w:val="false"/>
                <w:sz w:val="20"/>
                <w:szCs w:val="20"/>
              </w:rPr>
              <w:t xml:space="preserve">10.10.0.0/16</w:t>
            </w:r>
          </w:p>
        </w:tc>
      </w:tr>
      <w:tr>
        <w:tc>
          <w:tcPr>
            <w:tcW w:type="dxa" w:w="3200"/>
            <w:tcBorders>
              <w:top w:val="single" w:color="B8C2D0" w:sz="4"/>
              <w:left w:val="single" w:color="B8C2D0" w:sz="4"/>
              <w:bottom w:val="single" w:color="B8C2D0" w:sz="4"/>
              <w:right w:val="single" w:color="B8C2D0" w:sz="4"/>
            </w:tcBorders>
            <w:tcMar>
              <w:top w:type="dxa" w:w="70"/>
              <w:left w:type="dxa" w:w="120"/>
              <w:bottom w:type="dxa" w:w="70"/>
              <w:right w:type="dxa" w:w="120"/>
            </w:tcMar>
          </w:tcPr>
          <w:p>
            <w:r>
              <w:rPr>
                <w:rFonts w:ascii="Arial" w:cs="Arial" w:eastAsia="Arial" w:hAnsi="Arial"/>
                <w:b w:val="false"/>
                <w:bCs w:val="false"/>
                <w:sz w:val="20"/>
                <w:szCs w:val="20"/>
              </w:rPr>
              <w:t xml:space="preserve">Test</w:t>
            </w:r>
          </w:p>
        </w:tc>
        <w:tc>
          <w:tcPr>
            <w:tcW w:type="dxa" w:w="3200"/>
            <w:tcBorders>
              <w:top w:val="single" w:color="B8C2D0" w:sz="4"/>
              <w:left w:val="single" w:color="B8C2D0" w:sz="4"/>
              <w:bottom w:val="single" w:color="B8C2D0" w:sz="4"/>
              <w:right w:val="single" w:color="B8C2D0" w:sz="4"/>
            </w:tcBorders>
            <w:tcMar>
              <w:top w:type="dxa" w:w="70"/>
              <w:left w:type="dxa" w:w="120"/>
              <w:bottom w:type="dxa" w:w="70"/>
              <w:right w:type="dxa" w:w="120"/>
            </w:tcMar>
          </w:tcPr>
          <w:p>
            <w:r>
              <w:rPr>
                <w:rFonts w:ascii="Arial" w:cs="Arial" w:eastAsia="Arial" w:hAnsi="Arial"/>
                <w:b w:val="false"/>
                <w:bCs w:val="false"/>
                <w:sz w:val="20"/>
                <w:szCs w:val="20"/>
              </w:rPr>
              <w:t xml:space="preserve">10.20.0.0/16</w:t>
            </w:r>
          </w:p>
        </w:tc>
      </w:tr>
      <w:tr>
        <w:tc>
          <w:tcPr>
            <w:tcW w:type="dxa" w:w="3200"/>
            <w:tcBorders>
              <w:top w:val="single" w:color="B8C2D0" w:sz="4"/>
              <w:left w:val="single" w:color="B8C2D0" w:sz="4"/>
              <w:bottom w:val="single" w:color="B8C2D0" w:sz="4"/>
              <w:right w:val="single" w:color="B8C2D0" w:sz="4"/>
            </w:tcBorders>
            <w:tcMar>
              <w:top w:type="dxa" w:w="70"/>
              <w:left w:type="dxa" w:w="120"/>
              <w:bottom w:type="dxa" w:w="70"/>
              <w:right w:type="dxa" w:w="120"/>
            </w:tcMar>
          </w:tcPr>
          <w:p>
            <w:r>
              <w:rPr>
                <w:rFonts w:ascii="Arial" w:cs="Arial" w:eastAsia="Arial" w:hAnsi="Arial"/>
                <w:b w:val="false"/>
                <w:bCs w:val="false"/>
                <w:sz w:val="20"/>
                <w:szCs w:val="20"/>
              </w:rPr>
              <w:t xml:space="preserve">Prod</w:t>
            </w:r>
          </w:p>
        </w:tc>
        <w:tc>
          <w:tcPr>
            <w:tcW w:type="dxa" w:w="3200"/>
            <w:tcBorders>
              <w:top w:val="single" w:color="B8C2D0" w:sz="4"/>
              <w:left w:val="single" w:color="B8C2D0" w:sz="4"/>
              <w:bottom w:val="single" w:color="B8C2D0" w:sz="4"/>
              <w:right w:val="single" w:color="B8C2D0" w:sz="4"/>
            </w:tcBorders>
            <w:tcMar>
              <w:top w:type="dxa" w:w="70"/>
              <w:left w:type="dxa" w:w="120"/>
              <w:bottom w:type="dxa" w:w="70"/>
              <w:right w:type="dxa" w:w="120"/>
            </w:tcMar>
          </w:tcPr>
          <w:p>
            <w:r>
              <w:rPr>
                <w:rFonts w:ascii="Arial" w:cs="Arial" w:eastAsia="Arial" w:hAnsi="Arial"/>
                <w:b w:val="false"/>
                <w:bCs w:val="false"/>
                <w:sz w:val="20"/>
                <w:szCs w:val="20"/>
              </w:rPr>
              <w:t xml:space="preserve">10.30.0.0/16</w:t>
            </w:r>
          </w:p>
        </w:tc>
      </w:tr>
    </w:tbl>
    <w:p>
      <w:pPr>
        <w:spacing w:after="120"/>
      </w:pPr>
    </w:p>
    <w:p>
      <w:r>
        <w:br w:type="page"/>
      </w:r>
    </w:p>
    <w:p>
      <w:pPr>
        <w:pStyle w:val="Heading1"/>
      </w:pPr>
      <w:r>
        <w:t xml:space="preserve">4. Build Guide</w:t>
      </w:r>
    </w:p>
    <w:p>
      <w:pPr>
        <w:pStyle w:val="Heading2"/>
      </w:pPr>
      <w:r>
        <w:t xml:space="preserve">4.1 Network setup</w:t>
      </w:r>
    </w:p>
    <w:p>
      <w:pPr>
        <w:pStyle w:val="ListParagraph"/>
        <w:numPr>
          <w:ilvl w:val="0"/>
          <w:numId w:val="3"/>
        </w:numPr>
        <w:spacing w:after="80" w:line="276"/>
      </w:pPr>
      <w:r>
        <w:rPr>
          <w:rFonts w:ascii="Arial" w:cs="Arial" w:eastAsia="Arial" w:hAnsi="Arial"/>
          <w:sz w:val="21"/>
          <w:szCs w:val="21"/>
        </w:rPr>
        <w:t xml:space="preserve">Create three VPCs (Dev, Test, Prod) with non overlapping CIDR blocks.</w:t>
      </w:r>
    </w:p>
    <w:p>
      <w:pPr>
        <w:pStyle w:val="ListParagraph"/>
        <w:numPr>
          <w:ilvl w:val="0"/>
          <w:numId w:val="3"/>
        </w:numPr>
        <w:spacing w:after="80" w:line="276"/>
      </w:pPr>
      <w:r>
        <w:rPr>
          <w:rFonts w:ascii="Arial" w:cs="Arial" w:eastAsia="Arial" w:hAnsi="Arial"/>
          <w:sz w:val="21"/>
          <w:szCs w:val="21"/>
        </w:rPr>
        <w:t xml:space="preserve">In each VPC, create public and private subnets in at least two Availability Zones.</w:t>
      </w:r>
    </w:p>
    <w:p>
      <w:pPr>
        <w:pStyle w:val="ListParagraph"/>
        <w:numPr>
          <w:ilvl w:val="0"/>
          <w:numId w:val="3"/>
        </w:numPr>
        <w:spacing w:after="80" w:line="276"/>
      </w:pPr>
      <w:r>
        <w:rPr>
          <w:rFonts w:ascii="Arial" w:cs="Arial" w:eastAsia="Arial" w:hAnsi="Arial"/>
          <w:sz w:val="21"/>
          <w:szCs w:val="21"/>
        </w:rPr>
        <w:t xml:space="preserve">Create an internet gateway for each VPC and attach it to that VPC only.</w:t>
      </w:r>
    </w:p>
    <w:p>
      <w:pPr>
        <w:pStyle w:val="ListParagraph"/>
        <w:numPr>
          <w:ilvl w:val="0"/>
          <w:numId w:val="3"/>
        </w:numPr>
        <w:spacing w:after="80" w:line="276"/>
      </w:pPr>
      <w:r>
        <w:rPr>
          <w:rFonts w:ascii="Arial" w:cs="Arial" w:eastAsia="Arial" w:hAnsi="Arial"/>
          <w:sz w:val="21"/>
          <w:szCs w:val="21"/>
        </w:rPr>
        <w:t xml:space="preserve">Create separate route tables per VPC and associate them with that VPC's subnets. Do not add peering or cross VPC routes.</w:t>
      </w:r>
    </w:p>
    <w:p>
      <w:pPr>
        <w:pStyle w:val="ListParagraph"/>
        <w:numPr>
          <w:ilvl w:val="0"/>
          <w:numId w:val="3"/>
        </w:numPr>
        <w:spacing w:after="80" w:line="276"/>
      </w:pPr>
      <w:r>
        <w:rPr>
          <w:rFonts w:ascii="Arial" w:cs="Arial" w:eastAsia="Arial" w:hAnsi="Arial"/>
          <w:sz w:val="21"/>
          <w:szCs w:val="21"/>
        </w:rPr>
        <w:t xml:space="preserve">Create one security group per environment. Allow inbound traffic only from within the same environment, and add no rules that reference another environment.</w:t>
      </w:r>
    </w:p>
    <w:p>
      <w:pPr>
        <w:pStyle w:val="ListParagraph"/>
        <w:numPr>
          <w:ilvl w:val="0"/>
          <w:numId w:val="3"/>
        </w:numPr>
        <w:spacing w:after="80" w:line="276"/>
      </w:pPr>
      <w:r>
        <w:rPr>
          <w:rFonts w:ascii="Arial" w:cs="Arial" w:eastAsia="Arial" w:hAnsi="Arial"/>
          <w:sz w:val="21"/>
          <w:szCs w:val="21"/>
        </w:rPr>
        <w:t xml:space="preserve">Launch a sample EC2 instance in each environment.</w:t>
      </w:r>
    </w:p>
    <w:p>
      <w:pPr>
        <w:pStyle w:val="ListParagraph"/>
        <w:numPr>
          <w:ilvl w:val="0"/>
          <w:numId w:val="3"/>
        </w:numPr>
        <w:spacing w:after="80" w:line="276"/>
      </w:pPr>
      <w:r>
        <w:rPr>
          <w:rFonts w:ascii="Arial" w:cs="Arial" w:eastAsia="Arial" w:hAnsi="Arial"/>
          <w:sz w:val="21"/>
          <w:szCs w:val="21"/>
        </w:rPr>
        <w:t xml:space="preserve">Apply the mandatory tag </w:t>
      </w:r>
      <w:r>
        <w:rPr>
          <w:rFonts w:ascii="Courier New" w:cs="Courier New" w:eastAsia="Courier New" w:hAnsi="Courier New"/>
          <w:sz w:val="19"/>
          <w:szCs w:val="19"/>
        </w:rPr>
        <w:t xml:space="preserve">Environment</w:t>
      </w:r>
      <w:r>
        <w:rPr>
          <w:rFonts w:ascii="Arial" w:cs="Arial" w:eastAsia="Arial" w:hAnsi="Arial"/>
          <w:sz w:val="21"/>
          <w:szCs w:val="21"/>
        </w:rPr>
        <w:t xml:space="preserve"> with the value </w:t>
      </w:r>
      <w:r>
        <w:rPr>
          <w:rFonts w:ascii="Courier New" w:cs="Courier New" w:eastAsia="Courier New" w:hAnsi="Courier New"/>
          <w:sz w:val="19"/>
          <w:szCs w:val="19"/>
        </w:rPr>
        <w:t xml:space="preserve">Dev</w:t>
      </w:r>
      <w:r>
        <w:rPr>
          <w:rFonts w:ascii="Arial" w:cs="Arial" w:eastAsia="Arial" w:hAnsi="Arial"/>
          <w:sz w:val="21"/>
          <w:szCs w:val="21"/>
        </w:rPr>
        <w:t xml:space="preserve">, </w:t>
      </w:r>
      <w:r>
        <w:rPr>
          <w:rFonts w:ascii="Courier New" w:cs="Courier New" w:eastAsia="Courier New" w:hAnsi="Courier New"/>
          <w:sz w:val="19"/>
          <w:szCs w:val="19"/>
        </w:rPr>
        <w:t xml:space="preserve">Test</w:t>
      </w:r>
      <w:r>
        <w:rPr>
          <w:rFonts w:ascii="Arial" w:cs="Arial" w:eastAsia="Arial" w:hAnsi="Arial"/>
          <w:sz w:val="21"/>
          <w:szCs w:val="21"/>
        </w:rPr>
        <w:t xml:space="preserve"> or </w:t>
      </w:r>
      <w:r>
        <w:rPr>
          <w:rFonts w:ascii="Courier New" w:cs="Courier New" w:eastAsia="Courier New" w:hAnsi="Courier New"/>
          <w:sz w:val="19"/>
          <w:szCs w:val="19"/>
        </w:rPr>
        <w:t xml:space="preserve">Prod</w:t>
      </w:r>
      <w:r>
        <w:rPr>
          <w:rFonts w:ascii="Arial" w:cs="Arial" w:eastAsia="Arial" w:hAnsi="Arial"/>
          <w:sz w:val="21"/>
          <w:szCs w:val="21"/>
        </w:rPr>
        <w:t xml:space="preserve"> to every resource, including the instances.</w:t>
      </w:r>
    </w:p>
    <w:p>
      <w:pPr>
        <w:pStyle w:val="Heading2"/>
      </w:pPr>
      <w:r>
        <w:t xml:space="preserve">4.2 IAM configuration</w:t>
      </w:r>
    </w:p>
    <w:p>
      <w:pPr>
        <w:pStyle w:val="ListParagraph"/>
        <w:numPr>
          <w:ilvl w:val="0"/>
          <w:numId w:val="4"/>
        </w:numPr>
        <w:spacing w:after="80" w:line="276"/>
      </w:pPr>
      <w:r>
        <w:rPr>
          <w:rFonts w:ascii="Arial" w:cs="Arial" w:eastAsia="Arial" w:hAnsi="Arial"/>
          <w:sz w:val="21"/>
          <w:szCs w:val="21"/>
        </w:rPr>
        <w:t xml:space="preserve">Create the roles </w:t>
      </w:r>
      <w:r>
        <w:rPr>
          <w:rFonts w:ascii="Courier New" w:cs="Courier New" w:eastAsia="Courier New" w:hAnsi="Courier New"/>
          <w:sz w:val="19"/>
          <w:szCs w:val="19"/>
        </w:rPr>
        <w:t xml:space="preserve">Dev-Access-Role</w:t>
      </w:r>
      <w:r>
        <w:rPr>
          <w:rFonts w:ascii="Arial" w:cs="Arial" w:eastAsia="Arial" w:hAnsi="Arial"/>
          <w:sz w:val="21"/>
          <w:szCs w:val="21"/>
        </w:rPr>
        <w:t xml:space="preserve">, </w:t>
      </w:r>
      <w:r>
        <w:rPr>
          <w:rFonts w:ascii="Courier New" w:cs="Courier New" w:eastAsia="Courier New" w:hAnsi="Courier New"/>
          <w:sz w:val="19"/>
          <w:szCs w:val="19"/>
        </w:rPr>
        <w:t xml:space="preserve">Test-Access-Role</w:t>
      </w:r>
      <w:r>
        <w:rPr>
          <w:rFonts w:ascii="Arial" w:cs="Arial" w:eastAsia="Arial" w:hAnsi="Arial"/>
          <w:sz w:val="21"/>
          <w:szCs w:val="21"/>
        </w:rPr>
        <w:t xml:space="preserve"> and </w:t>
      </w:r>
      <w:r>
        <w:rPr>
          <w:rFonts w:ascii="Courier New" w:cs="Courier New" w:eastAsia="Courier New" w:hAnsi="Courier New"/>
          <w:sz w:val="19"/>
          <w:szCs w:val="19"/>
        </w:rPr>
        <w:t xml:space="preserve">Prod-Access-Role</w:t>
      </w:r>
      <w:r>
        <w:rPr>
          <w:rFonts w:ascii="Arial" w:cs="Arial" w:eastAsia="Arial" w:hAnsi="Arial"/>
          <w:sz w:val="21"/>
          <w:szCs w:val="21"/>
        </w:rPr>
        <w:t xml:space="preserve">.</w:t>
      </w:r>
    </w:p>
    <w:p>
      <w:pPr>
        <w:pStyle w:val="ListParagraph"/>
        <w:numPr>
          <w:ilvl w:val="0"/>
          <w:numId w:val="4"/>
        </w:numPr>
        <w:spacing w:after="80" w:line="276"/>
      </w:pPr>
      <w:r>
        <w:rPr>
          <w:rFonts w:ascii="Arial" w:cs="Arial" w:eastAsia="Arial" w:hAnsi="Arial"/>
          <w:sz w:val="21"/>
          <w:szCs w:val="21"/>
        </w:rPr>
        <w:t xml:space="preserve">Configure each role's trust policy to allow </w:t>
      </w:r>
      <w:r>
        <w:rPr>
          <w:rFonts w:ascii="Courier New" w:cs="Courier New" w:eastAsia="Courier New" w:hAnsi="Courier New"/>
          <w:sz w:val="19"/>
          <w:szCs w:val="19"/>
        </w:rPr>
        <w:t xml:space="preserve">sts:AssumeRole</w:t>
      </w:r>
      <w:r>
        <w:rPr>
          <w:rFonts w:ascii="Arial" w:cs="Arial" w:eastAsia="Arial" w:hAnsi="Arial"/>
          <w:sz w:val="21"/>
          <w:szCs w:val="21"/>
        </w:rPr>
        <w:t xml:space="preserve">. Example (replace the placeholder, and prefer a specific user or role over the account root where you can):</w:t>
      </w:r>
    </w:p>
    <w:p>
      <w:pPr>
        <w:keepLines/>
        <w:shd w:fill="F3F5F8" w:color="auto" w:val="clear"/>
        <w:spacing w:after="0" w:before="60" w:line="252"/>
        <w:ind w:left="360"/>
      </w:pPr>
      <w:r>
        <w:rPr>
          <w:rFonts w:ascii="Courier New" w:cs="Courier New" w:eastAsia="Courier New" w:hAnsi="Courier New"/>
          <w:sz w:val="18"/>
          <w:szCs w:val="18"/>
        </w:rPr>
        <w:t xml:space="preserve">{</w:t>
      </w:r>
    </w:p>
    <w:p>
      <w:pPr>
        <w:keepLines/>
        <w:shd w:fill="F3F5F8" w:color="auto" w:val="clear"/>
        <w:spacing w:after="0" w:before="0" w:line="252"/>
        <w:ind w:left="360"/>
      </w:pPr>
      <w:r>
        <w:rPr>
          <w:rFonts w:ascii="Courier New" w:cs="Courier New" w:eastAsia="Courier New" w:hAnsi="Courier New"/>
          <w:sz w:val="18"/>
          <w:szCs w:val="18"/>
        </w:rPr>
        <w:t xml:space="preserve">  "Version": "2012-10-17",</w:t>
      </w:r>
    </w:p>
    <w:p>
      <w:pPr>
        <w:keepLines/>
        <w:shd w:fill="F3F5F8" w:color="auto" w:val="clear"/>
        <w:spacing w:after="0" w:before="0" w:line="252"/>
        <w:ind w:left="360"/>
      </w:pPr>
      <w:r>
        <w:rPr>
          <w:rFonts w:ascii="Courier New" w:cs="Courier New" w:eastAsia="Courier New" w:hAnsi="Courier New"/>
          <w:sz w:val="18"/>
          <w:szCs w:val="18"/>
        </w:rPr>
        <w:t xml:space="preserve">  "Statement": [</w:t>
      </w:r>
    </w:p>
    <w:p>
      <w:pPr>
        <w:keepLines/>
        <w:shd w:fill="F3F5F8" w:color="auto" w:val="clear"/>
        <w:spacing w:after="0" w:before="0" w:line="252"/>
        <w:ind w:left="360"/>
      </w:pPr>
      <w:r>
        <w:rPr>
          <w:rFonts w:ascii="Courier New" w:cs="Courier New" w:eastAsia="Courier New" w:hAnsi="Courier New"/>
          <w:sz w:val="18"/>
          <w:szCs w:val="18"/>
        </w:rPr>
        <w:t xml:space="preserve">    {</w:t>
      </w:r>
    </w:p>
    <w:p>
      <w:pPr>
        <w:keepLines/>
        <w:shd w:fill="F3F5F8" w:color="auto" w:val="clear"/>
        <w:spacing w:after="0" w:before="0" w:line="252"/>
        <w:ind w:left="360"/>
      </w:pPr>
      <w:r>
        <w:rPr>
          <w:rFonts w:ascii="Courier New" w:cs="Courier New" w:eastAsia="Courier New" w:hAnsi="Courier New"/>
          <w:sz w:val="18"/>
          <w:szCs w:val="18"/>
        </w:rPr>
        <w:t xml:space="preserve">      "Effect": "Allow",</w:t>
      </w:r>
    </w:p>
    <w:p>
      <w:pPr>
        <w:keepLines/>
        <w:shd w:fill="F3F5F8" w:color="auto" w:val="clear"/>
        <w:spacing w:after="0" w:before="0" w:line="252"/>
        <w:ind w:left="360"/>
      </w:pPr>
      <w:r>
        <w:rPr>
          <w:rFonts w:ascii="Courier New" w:cs="Courier New" w:eastAsia="Courier New" w:hAnsi="Courier New"/>
          <w:sz w:val="18"/>
          <w:szCs w:val="18"/>
        </w:rPr>
        <w:t xml:space="preserve">      "Principal": { "AWS": "arn:aws:iam::&lt;YOUR_ACCOUNT_ID&gt;:root" },</w:t>
      </w:r>
    </w:p>
    <w:p>
      <w:pPr>
        <w:keepLines/>
        <w:shd w:fill="F3F5F8" w:color="auto" w:val="clear"/>
        <w:spacing w:after="0" w:before="0" w:line="252"/>
        <w:ind w:left="360"/>
      </w:pPr>
      <w:r>
        <w:rPr>
          <w:rFonts w:ascii="Courier New" w:cs="Courier New" w:eastAsia="Courier New" w:hAnsi="Courier New"/>
          <w:sz w:val="18"/>
          <w:szCs w:val="18"/>
        </w:rPr>
        <w:t xml:space="preserve">      "Action": "sts:AssumeRole"</w:t>
      </w:r>
    </w:p>
    <w:p>
      <w:pPr>
        <w:keepLines/>
        <w:shd w:fill="F3F5F8" w:color="auto" w:val="clear"/>
        <w:spacing w:after="0" w:before="0" w:line="252"/>
        <w:ind w:left="360"/>
      </w:pPr>
      <w:r>
        <w:rPr>
          <w:rFonts w:ascii="Courier New" w:cs="Courier New" w:eastAsia="Courier New" w:hAnsi="Courier New"/>
          <w:sz w:val="18"/>
          <w:szCs w:val="18"/>
        </w:rPr>
        <w:t xml:space="preserve">    }</w:t>
      </w:r>
    </w:p>
    <w:p>
      <w:pPr>
        <w:keepLines/>
        <w:shd w:fill="F3F5F8" w:color="auto" w:val="clear"/>
        <w:spacing w:after="0" w:before="0" w:line="252"/>
        <w:ind w:left="360"/>
      </w:pPr>
      <w:r>
        <w:rPr>
          <w:rFonts w:ascii="Courier New" w:cs="Courier New" w:eastAsia="Courier New" w:hAnsi="Courier New"/>
          <w:sz w:val="18"/>
          <w:szCs w:val="18"/>
        </w:rPr>
        <w:t xml:space="preserve">  ]</w:t>
      </w:r>
    </w:p>
    <w:p>
      <w:pPr>
        <w:keepLines/>
        <w:shd w:fill="F3F5F8" w:color="auto" w:val="clear"/>
        <w:spacing w:after="160" w:before="0" w:line="252"/>
        <w:ind w:left="360"/>
      </w:pPr>
      <w:r>
        <w:rPr>
          <w:rFonts w:ascii="Courier New" w:cs="Courier New" w:eastAsia="Courier New" w:hAnsi="Courier New"/>
          <w:sz w:val="18"/>
          <w:szCs w:val="18"/>
        </w:rPr>
        <w:t xml:space="preserve">}</w:t>
      </w:r>
    </w:p>
    <w:p>
      <w:pPr>
        <w:pStyle w:val="ListParagraph"/>
        <w:numPr>
          <w:ilvl w:val="0"/>
          <w:numId w:val="4"/>
        </w:numPr>
        <w:spacing w:after="80" w:line="276"/>
      </w:pPr>
      <w:r>
        <w:rPr>
          <w:rFonts w:ascii="Arial" w:cs="Arial" w:eastAsia="Arial" w:hAnsi="Arial"/>
          <w:sz w:val="21"/>
          <w:szCs w:val="21"/>
        </w:rPr>
        <w:t xml:space="preserve">Attach the AWS managed </w:t>
      </w:r>
      <w:r>
        <w:rPr>
          <w:rFonts w:ascii="Courier New" w:cs="Courier New" w:eastAsia="Courier New" w:hAnsi="Courier New"/>
          <w:sz w:val="19"/>
          <w:szCs w:val="19"/>
        </w:rPr>
        <w:t xml:space="preserve">ReadOnlyAccess</w:t>
      </w:r>
      <w:r>
        <w:rPr>
          <w:rFonts w:ascii="Arial" w:cs="Arial" w:eastAsia="Arial" w:hAnsi="Arial"/>
          <w:sz w:val="21"/>
          <w:szCs w:val="21"/>
        </w:rPr>
        <w:t xml:space="preserve"> policy to each role.</w:t>
      </w:r>
    </w:p>
    <w:p>
      <w:pPr>
        <w:pStyle w:val="ListParagraph"/>
        <w:numPr>
          <w:ilvl w:val="0"/>
          <w:numId w:val="4"/>
        </w:numPr>
        <w:spacing w:after="80" w:line="276"/>
      </w:pPr>
      <w:r>
        <w:rPr>
          <w:rFonts w:ascii="Arial" w:cs="Arial" w:eastAsia="Arial" w:hAnsi="Arial"/>
          <w:sz w:val="21"/>
          <w:szCs w:val="21"/>
        </w:rPr>
        <w:t xml:space="preserve">Add an inline, tag based policy to each role so it can change only its own environment. Example for the Prod role:</w:t>
      </w:r>
    </w:p>
    <w:p>
      <w:pPr>
        <w:keepLines/>
        <w:shd w:fill="F3F5F8" w:color="auto" w:val="clear"/>
        <w:spacing w:after="0" w:before="60" w:line="252"/>
        <w:ind w:left="360"/>
      </w:pPr>
      <w:r>
        <w:rPr>
          <w:rFonts w:ascii="Courier New" w:cs="Courier New" w:eastAsia="Courier New" w:hAnsi="Courier New"/>
          <w:sz w:val="18"/>
          <w:szCs w:val="18"/>
        </w:rPr>
        <w:t xml:space="preserve">{</w:t>
      </w:r>
    </w:p>
    <w:p>
      <w:pPr>
        <w:keepLines/>
        <w:shd w:fill="F3F5F8" w:color="auto" w:val="clear"/>
        <w:spacing w:after="0" w:before="0" w:line="252"/>
        <w:ind w:left="360"/>
      </w:pPr>
      <w:r>
        <w:rPr>
          <w:rFonts w:ascii="Courier New" w:cs="Courier New" w:eastAsia="Courier New" w:hAnsi="Courier New"/>
          <w:sz w:val="18"/>
          <w:szCs w:val="18"/>
        </w:rPr>
        <w:t xml:space="preserve">  "Version": "2012-10-17",</w:t>
      </w:r>
    </w:p>
    <w:p>
      <w:pPr>
        <w:keepLines/>
        <w:shd w:fill="F3F5F8" w:color="auto" w:val="clear"/>
        <w:spacing w:after="0" w:before="0" w:line="252"/>
        <w:ind w:left="360"/>
      </w:pPr>
      <w:r>
        <w:rPr>
          <w:rFonts w:ascii="Courier New" w:cs="Courier New" w:eastAsia="Courier New" w:hAnsi="Courier New"/>
          <w:sz w:val="18"/>
          <w:szCs w:val="18"/>
        </w:rPr>
        <w:t xml:space="preserve">  "Statement": [</w:t>
      </w:r>
    </w:p>
    <w:p>
      <w:pPr>
        <w:keepLines/>
        <w:shd w:fill="F3F5F8" w:color="auto" w:val="clear"/>
        <w:spacing w:after="0" w:before="0" w:line="252"/>
        <w:ind w:left="360"/>
      </w:pPr>
      <w:r>
        <w:rPr>
          <w:rFonts w:ascii="Courier New" w:cs="Courier New" w:eastAsia="Courier New" w:hAnsi="Courier New"/>
          <w:sz w:val="18"/>
          <w:szCs w:val="18"/>
        </w:rPr>
        <w:t xml:space="preserve">    {</w:t>
      </w:r>
    </w:p>
    <w:p>
      <w:pPr>
        <w:keepLines/>
        <w:shd w:fill="F3F5F8" w:color="auto" w:val="clear"/>
        <w:spacing w:after="0" w:before="0" w:line="252"/>
        <w:ind w:left="360"/>
      </w:pPr>
      <w:r>
        <w:rPr>
          <w:rFonts w:ascii="Courier New" w:cs="Courier New" w:eastAsia="Courier New" w:hAnsi="Courier New"/>
          <w:sz w:val="18"/>
          <w:szCs w:val="18"/>
        </w:rPr>
        <w:t xml:space="preserve">      "Effect": "Allow",</w:t>
      </w:r>
    </w:p>
    <w:p>
      <w:pPr>
        <w:keepLines/>
        <w:shd w:fill="F3F5F8" w:color="auto" w:val="clear"/>
        <w:spacing w:after="0" w:before="0" w:line="252"/>
        <w:ind w:left="360"/>
      </w:pPr>
      <w:r>
        <w:rPr>
          <w:rFonts w:ascii="Courier New" w:cs="Courier New" w:eastAsia="Courier New" w:hAnsi="Courier New"/>
          <w:sz w:val="18"/>
          <w:szCs w:val="18"/>
        </w:rPr>
        <w:t xml:space="preserve">      "Action": [</w:t>
      </w:r>
    </w:p>
    <w:p>
      <w:pPr>
        <w:keepLines/>
        <w:shd w:fill="F3F5F8" w:color="auto" w:val="clear"/>
        <w:spacing w:after="0" w:before="0" w:line="252"/>
        <w:ind w:left="360"/>
      </w:pPr>
      <w:r>
        <w:rPr>
          <w:rFonts w:ascii="Courier New" w:cs="Courier New" w:eastAsia="Courier New" w:hAnsi="Courier New"/>
          <w:sz w:val="18"/>
          <w:szCs w:val="18"/>
        </w:rPr>
        <w:t xml:space="preserve">        "ec2:StartInstances",</w:t>
      </w:r>
    </w:p>
    <w:p>
      <w:pPr>
        <w:keepLines/>
        <w:shd w:fill="F3F5F8" w:color="auto" w:val="clear"/>
        <w:spacing w:after="0" w:before="0" w:line="252"/>
        <w:ind w:left="360"/>
      </w:pPr>
      <w:r>
        <w:rPr>
          <w:rFonts w:ascii="Courier New" w:cs="Courier New" w:eastAsia="Courier New" w:hAnsi="Courier New"/>
          <w:sz w:val="18"/>
          <w:szCs w:val="18"/>
        </w:rPr>
        <w:t xml:space="preserve">        "ec2:StopInstances",</w:t>
      </w:r>
    </w:p>
    <w:p>
      <w:pPr>
        <w:keepLines/>
        <w:shd w:fill="F3F5F8" w:color="auto" w:val="clear"/>
        <w:spacing w:after="0" w:before="0" w:line="252"/>
        <w:ind w:left="360"/>
      </w:pPr>
      <w:r>
        <w:rPr>
          <w:rFonts w:ascii="Courier New" w:cs="Courier New" w:eastAsia="Courier New" w:hAnsi="Courier New"/>
          <w:sz w:val="18"/>
          <w:szCs w:val="18"/>
        </w:rPr>
        <w:t xml:space="preserve">        "ec2:RebootInstances"</w:t>
      </w:r>
    </w:p>
    <w:p>
      <w:pPr>
        <w:keepLines/>
        <w:shd w:fill="F3F5F8" w:color="auto" w:val="clear"/>
        <w:spacing w:after="0" w:before="0" w:line="252"/>
        <w:ind w:left="360"/>
      </w:pPr>
      <w:r>
        <w:rPr>
          <w:rFonts w:ascii="Courier New" w:cs="Courier New" w:eastAsia="Courier New" w:hAnsi="Courier New"/>
          <w:sz w:val="18"/>
          <w:szCs w:val="18"/>
        </w:rPr>
        <w:t xml:space="preserve">      ],</w:t>
      </w:r>
    </w:p>
    <w:p>
      <w:pPr>
        <w:keepLines/>
        <w:shd w:fill="F3F5F8" w:color="auto" w:val="clear"/>
        <w:spacing w:after="0" w:before="0" w:line="252"/>
        <w:ind w:left="360"/>
      </w:pPr>
      <w:r>
        <w:rPr>
          <w:rFonts w:ascii="Courier New" w:cs="Courier New" w:eastAsia="Courier New" w:hAnsi="Courier New"/>
          <w:sz w:val="18"/>
          <w:szCs w:val="18"/>
        </w:rPr>
        <w:t xml:space="preserve">      "Resource": "*",</w:t>
      </w:r>
    </w:p>
    <w:p>
      <w:pPr>
        <w:keepLines/>
        <w:shd w:fill="F3F5F8" w:color="auto" w:val="clear"/>
        <w:spacing w:after="0" w:before="0" w:line="252"/>
        <w:ind w:left="360"/>
      </w:pPr>
      <w:r>
        <w:rPr>
          <w:rFonts w:ascii="Courier New" w:cs="Courier New" w:eastAsia="Courier New" w:hAnsi="Courier New"/>
          <w:sz w:val="18"/>
          <w:szCs w:val="18"/>
        </w:rPr>
        <w:t xml:space="preserve">      "Condition": {</w:t>
      </w:r>
    </w:p>
    <w:p>
      <w:pPr>
        <w:keepLines/>
        <w:shd w:fill="F3F5F8" w:color="auto" w:val="clear"/>
        <w:spacing w:after="0" w:before="0" w:line="252"/>
        <w:ind w:left="360"/>
      </w:pPr>
      <w:r>
        <w:rPr>
          <w:rFonts w:ascii="Courier New" w:cs="Courier New" w:eastAsia="Courier New" w:hAnsi="Courier New"/>
          <w:sz w:val="18"/>
          <w:szCs w:val="18"/>
        </w:rPr>
        <w:t xml:space="preserve">        "StringEquals": { "aws:ResourceTag/Environment": "Prod" }</w:t>
      </w:r>
    </w:p>
    <w:p>
      <w:pPr>
        <w:keepLines/>
        <w:shd w:fill="F3F5F8" w:color="auto" w:val="clear"/>
        <w:spacing w:after="0" w:before="0" w:line="252"/>
        <w:ind w:left="360"/>
      </w:pPr>
      <w:r>
        <w:rPr>
          <w:rFonts w:ascii="Courier New" w:cs="Courier New" w:eastAsia="Courier New" w:hAnsi="Courier New"/>
          <w:sz w:val="18"/>
          <w:szCs w:val="18"/>
        </w:rPr>
        <w:t xml:space="preserve">      }</w:t>
      </w:r>
    </w:p>
    <w:p>
      <w:pPr>
        <w:keepLines/>
        <w:shd w:fill="F3F5F8" w:color="auto" w:val="clear"/>
        <w:spacing w:after="0" w:before="0" w:line="252"/>
        <w:ind w:left="360"/>
      </w:pPr>
      <w:r>
        <w:rPr>
          <w:rFonts w:ascii="Courier New" w:cs="Courier New" w:eastAsia="Courier New" w:hAnsi="Courier New"/>
          <w:sz w:val="18"/>
          <w:szCs w:val="18"/>
        </w:rPr>
        <w:t xml:space="preserve">    }</w:t>
      </w:r>
    </w:p>
    <w:p>
      <w:pPr>
        <w:keepLines/>
        <w:shd w:fill="F3F5F8" w:color="auto" w:val="clear"/>
        <w:spacing w:after="0" w:before="0" w:line="252"/>
        <w:ind w:left="360"/>
      </w:pPr>
      <w:r>
        <w:rPr>
          <w:rFonts w:ascii="Courier New" w:cs="Courier New" w:eastAsia="Courier New" w:hAnsi="Courier New"/>
          <w:sz w:val="18"/>
          <w:szCs w:val="18"/>
        </w:rPr>
        <w:t xml:space="preserve">  ]</w:t>
      </w:r>
    </w:p>
    <w:p>
      <w:pPr>
        <w:keepLines/>
        <w:shd w:fill="F3F5F8" w:color="auto" w:val="clear"/>
        <w:spacing w:after="160" w:before="0" w:line="252"/>
        <w:ind w:left="360"/>
      </w:pPr>
      <w:r>
        <w:rPr>
          <w:rFonts w:ascii="Courier New" w:cs="Courier New" w:eastAsia="Courier New" w:hAnsi="Courier New"/>
          <w:sz w:val="18"/>
          <w:szCs w:val="18"/>
        </w:rPr>
        <w:t xml:space="preserve">}</w:t>
      </w:r>
    </w:p>
    <w:p>
      <w:pPr>
        <w:pStyle w:val="ListParagraph"/>
        <w:numPr>
          <w:ilvl w:val="0"/>
          <w:numId w:val="4"/>
        </w:numPr>
        <w:spacing w:after="80" w:line="276"/>
      </w:pPr>
      <w:r>
        <w:rPr>
          <w:rFonts w:ascii="Arial" w:cs="Arial" w:eastAsia="Arial" w:hAnsi="Arial"/>
          <w:sz w:val="21"/>
          <w:szCs w:val="21"/>
        </w:rPr>
        <w:t xml:space="preserve">Grant </w:t>
      </w:r>
      <w:r>
        <w:rPr>
          <w:rFonts w:ascii="Courier New" w:cs="Courier New" w:eastAsia="Courier New" w:hAnsi="Courier New"/>
          <w:sz w:val="19"/>
          <w:szCs w:val="19"/>
        </w:rPr>
        <w:t xml:space="preserve">sts:AssumeRole</w:t>
      </w:r>
      <w:r>
        <w:rPr>
          <w:rFonts w:ascii="Arial" w:cs="Arial" w:eastAsia="Arial" w:hAnsi="Arial"/>
          <w:sz w:val="21"/>
          <w:szCs w:val="21"/>
        </w:rPr>
        <w:t xml:space="preserve"> on these roles to the source IAM users or SSO identities that should be able to use them.</w:t>
      </w:r>
    </w:p>
    <w:p>
      <w:pPr>
        <w:pStyle w:val="ListParagraph"/>
        <w:numPr>
          <w:ilvl w:val="0"/>
          <w:numId w:val="4"/>
        </w:numPr>
        <w:spacing w:after="80" w:line="276"/>
      </w:pPr>
      <w:r>
        <w:rPr>
          <w:rFonts w:ascii="Arial" w:cs="Arial" w:eastAsia="Arial" w:hAnsi="Arial"/>
          <w:sz w:val="21"/>
          <w:szCs w:val="21"/>
        </w:rPr>
        <w:t xml:space="preserve">Set the maximum session duration to 1 hour.</w:t>
      </w:r>
    </w:p>
    <w:p>
      <w:pPr>
        <w:pStyle w:val="Heading2"/>
      </w:pPr>
      <w:r>
        <w:t xml:space="preserve">4.3 Auditing</w:t>
      </w:r>
    </w:p>
    <w:p>
      <w:pPr>
        <w:spacing w:after="120" w:line="288"/>
      </w:pPr>
      <w:r>
        <w:rPr>
          <w:rFonts w:ascii="Arial" w:cs="Arial" w:eastAsia="Arial" w:hAnsi="Arial"/>
          <w:sz w:val="21"/>
          <w:szCs w:val="21"/>
        </w:rPr>
        <w:t xml:space="preserve">Enable an AWS CloudTrail trail for management events so that AssumeRole calls and administrative actions across all environments are logged to an S3 bucket.</w:t>
      </w:r>
    </w:p>
    <w:p>
      <w:pPr>
        <w:pStyle w:val="Heading1"/>
      </w:pPr>
      <w:r>
        <w:t xml:space="preserve">5. Validation and Isolation Testing</w:t>
      </w:r>
    </w:p>
    <w:p>
      <w:pPr>
        <w:keepNext/>
        <w:spacing w:after="60" w:before="160"/>
      </w:pPr>
      <w:r>
        <w:rPr>
          <w:rFonts w:ascii="Arial" w:cs="Arial" w:eastAsia="Arial" w:hAnsi="Arial"/>
          <w:b/>
          <w:bCs/>
          <w:color w:val="1F3A5F"/>
          <w:sz w:val="22"/>
          <w:szCs w:val="22"/>
        </w:rPr>
        <w:t xml:space="preserve">Test 1: Network isolation</w:t>
      </w:r>
    </w:p>
    <w:p>
      <w:pPr>
        <w:pStyle w:val="ListParagraph"/>
        <w:numPr>
          <w:ilvl w:val="0"/>
          <w:numId w:val="2"/>
        </w:numPr>
        <w:spacing w:after="60" w:line="276"/>
      </w:pPr>
      <w:r>
        <w:rPr>
          <w:rFonts w:ascii="Arial" w:cs="Arial" w:eastAsia="Arial" w:hAnsi="Arial"/>
          <w:sz w:val="21"/>
          <w:szCs w:val="21"/>
        </w:rPr>
        <w:t xml:space="preserve">Confirm the Dev and Prod CIDR blocks do not overlap.</w:t>
      </w:r>
    </w:p>
    <w:p>
      <w:pPr>
        <w:pStyle w:val="ListParagraph"/>
        <w:numPr>
          <w:ilvl w:val="0"/>
          <w:numId w:val="2"/>
        </w:numPr>
        <w:spacing w:after="60" w:line="276"/>
      </w:pPr>
      <w:r>
        <w:rPr>
          <w:rFonts w:ascii="Arial" w:cs="Arial" w:eastAsia="Arial" w:hAnsi="Arial"/>
          <w:sz w:val="21"/>
          <w:szCs w:val="21"/>
        </w:rPr>
        <w:t xml:space="preserve">From a Dev instance, try to reach the private IP of a Prod instance (for example with ping or curl).</w:t>
      </w:r>
    </w:p>
    <w:p>
      <w:pPr>
        <w:pStyle w:val="ListParagraph"/>
        <w:numPr>
          <w:ilvl w:val="0"/>
          <w:numId w:val="2"/>
        </w:numPr>
        <w:spacing w:after="60" w:line="276"/>
      </w:pPr>
      <w:r>
        <w:rPr>
          <w:rFonts w:ascii="Arial" w:cs="Arial" w:eastAsia="Arial" w:hAnsi="Arial"/>
          <w:b/>
          <w:bCs/>
          <w:sz w:val="21"/>
          <w:szCs w:val="21"/>
        </w:rPr>
        <w:t xml:space="preserve">Expected result: </w:t>
      </w:r>
      <w:r>
        <w:rPr>
          <w:rFonts w:ascii="Arial" w:cs="Arial" w:eastAsia="Arial" w:hAnsi="Arial"/>
          <w:sz w:val="21"/>
          <w:szCs w:val="21"/>
        </w:rPr>
        <w:t xml:space="preserve">the traffic fails or times out.</w:t>
      </w:r>
    </w:p>
    <w:p>
      <w:pPr>
        <w:keepNext/>
        <w:spacing w:after="60" w:before="160"/>
      </w:pPr>
      <w:r>
        <w:rPr>
          <w:rFonts w:ascii="Arial" w:cs="Arial" w:eastAsia="Arial" w:hAnsi="Arial"/>
          <w:b/>
          <w:bCs/>
          <w:color w:val="1F3A5F"/>
          <w:sz w:val="22"/>
          <w:szCs w:val="22"/>
        </w:rPr>
        <w:t xml:space="preserve">Test 2: Read only visibility</w:t>
      </w:r>
    </w:p>
    <w:p>
      <w:pPr>
        <w:pStyle w:val="ListParagraph"/>
        <w:numPr>
          <w:ilvl w:val="0"/>
          <w:numId w:val="2"/>
        </w:numPr>
        <w:spacing w:after="60" w:line="276"/>
      </w:pPr>
      <w:r>
        <w:rPr>
          <w:rFonts w:ascii="Arial" w:cs="Arial" w:eastAsia="Arial" w:hAnsi="Arial"/>
          <w:sz w:val="21"/>
          <w:szCs w:val="21"/>
        </w:rPr>
        <w:t xml:space="preserve">Assume </w:t>
      </w:r>
      <w:r>
        <w:rPr>
          <w:rFonts w:ascii="Courier New" w:cs="Courier New" w:eastAsia="Courier New" w:hAnsi="Courier New"/>
          <w:sz w:val="19"/>
          <w:szCs w:val="19"/>
        </w:rPr>
        <w:t xml:space="preserve">Prod-Access-Role</w:t>
      </w:r>
      <w:r>
        <w:rPr>
          <w:rFonts w:ascii="Arial" w:cs="Arial" w:eastAsia="Arial" w:hAnsi="Arial"/>
          <w:sz w:val="21"/>
          <w:szCs w:val="21"/>
        </w:rPr>
        <w:t xml:space="preserve"> and view Dev and Test resources.</w:t>
      </w:r>
    </w:p>
    <w:p>
      <w:pPr>
        <w:pStyle w:val="ListParagraph"/>
        <w:numPr>
          <w:ilvl w:val="0"/>
          <w:numId w:val="2"/>
        </w:numPr>
        <w:spacing w:after="60" w:line="276"/>
      </w:pPr>
      <w:r>
        <w:rPr>
          <w:rFonts w:ascii="Arial" w:cs="Arial" w:eastAsia="Arial" w:hAnsi="Arial"/>
          <w:b/>
          <w:bCs/>
          <w:sz w:val="21"/>
          <w:szCs w:val="21"/>
        </w:rPr>
        <w:t xml:space="preserve">Expected result: </w:t>
      </w:r>
      <w:r>
        <w:rPr>
          <w:rFonts w:ascii="Arial" w:cs="Arial" w:eastAsia="Arial" w:hAnsi="Arial"/>
          <w:sz w:val="21"/>
          <w:szCs w:val="21"/>
        </w:rPr>
        <w:t xml:space="preserve">read only access works.</w:t>
      </w:r>
    </w:p>
    <w:p>
      <w:pPr>
        <w:pStyle w:val="ListParagraph"/>
        <w:numPr>
          <w:ilvl w:val="0"/>
          <w:numId w:val="2"/>
        </w:numPr>
        <w:spacing w:after="60" w:line="276"/>
      </w:pPr>
      <w:r>
        <w:rPr>
          <w:rFonts w:ascii="Arial" w:cs="Arial" w:eastAsia="Arial" w:hAnsi="Arial"/>
          <w:sz w:val="21"/>
          <w:szCs w:val="21"/>
        </w:rPr>
        <w:t xml:space="preserve">Then try to modify a Dev resource while in the Prod role.</w:t>
      </w:r>
    </w:p>
    <w:p>
      <w:pPr>
        <w:pStyle w:val="ListParagraph"/>
        <w:numPr>
          <w:ilvl w:val="0"/>
          <w:numId w:val="2"/>
        </w:numPr>
        <w:spacing w:after="60" w:line="276"/>
      </w:pPr>
      <w:r>
        <w:rPr>
          <w:rFonts w:ascii="Arial" w:cs="Arial" w:eastAsia="Arial" w:hAnsi="Arial"/>
          <w:b/>
          <w:bCs/>
          <w:sz w:val="21"/>
          <w:szCs w:val="21"/>
        </w:rPr>
        <w:t xml:space="preserve">Expected result: </w:t>
      </w:r>
      <w:r>
        <w:rPr>
          <w:rFonts w:ascii="Arial" w:cs="Arial" w:eastAsia="Arial" w:hAnsi="Arial"/>
          <w:sz w:val="21"/>
          <w:szCs w:val="21"/>
        </w:rPr>
        <w:t xml:space="preserve">AccessDenied.</w:t>
      </w:r>
    </w:p>
    <w:p>
      <w:pPr>
        <w:pStyle w:val="Heading1"/>
      </w:pPr>
      <w:r>
        <w:t xml:space="preserve">6. Cleanup</w:t>
      </w:r>
    </w:p>
    <w:p>
      <w:pPr>
        <w:spacing w:after="120" w:line="288"/>
      </w:pPr>
      <w:r>
        <w:rPr>
          <w:rFonts w:ascii="Arial" w:cs="Arial" w:eastAsia="Arial" w:hAnsi="Arial"/>
          <w:sz w:val="21"/>
          <w:szCs w:val="21"/>
        </w:rPr>
        <w:t xml:space="preserve">Terminate the sample instances, and delete any NAT gateways and Elastic IPs when you finish, to avoid ongoing charges.</w:t>
      </w:r>
    </w:p>
    <w:p>
      <w:pPr>
        <w:spacing w:after="0" w:before="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8A1B" w:sz="6"/>
              <w:left w:val="single" w:color="C98A1B" w:sz="6"/>
              <w:bottom w:val="single" w:color="C98A1B" w:sz="6"/>
              <w:right w:val="single" w:color="C98A1B" w:sz="6"/>
            </w:tcBorders>
            <w:shd w:fill="FFF8EA" w:color="auto" w:val="clear"/>
            <w:tcMar>
              <w:top w:type="dxa" w:w="140"/>
              <w:left w:type="dxa" w:w="180"/>
              <w:bottom w:type="dxa" w:w="140"/>
              <w:right w:type="dxa" w:w="180"/>
            </w:tcMar>
          </w:tcPr>
          <w:p>
            <w:pPr>
              <w:spacing w:after="80"/>
            </w:pPr>
            <w:r>
              <w:rPr>
                <w:rFonts w:ascii="Arial" w:cs="Arial" w:eastAsia="Arial" w:hAnsi="Arial"/>
                <w:b/>
                <w:bCs/>
                <w:color w:val="7A4F00"/>
                <w:sz w:val="21"/>
                <w:szCs w:val="21"/>
              </w:rPr>
              <w:t xml:space="preserve">Note on screenshots and confidentiality</w:t>
            </w:r>
          </w:p>
          <w:p>
            <w:pPr>
              <w:spacing w:after="0" w:line="276"/>
            </w:pPr>
            <w:r>
              <w:rPr>
                <w:rFonts w:ascii="Arial" w:cs="Arial" w:eastAsia="Arial" w:hAnsi="Arial"/>
                <w:sz w:val="20"/>
                <w:szCs w:val="20"/>
              </w:rPr>
              <w:t xml:space="preserve">This guide was originally built during an internship at CloudThat Technologies. CloudThat does not allow screenshots from its environment to be shared, so no screenshots are included. In line with company policy, which does not permit sharing credentials or AWS account IDs, this document also contains no credentials, account IDs or user identities. Every identifier is a placeholder, and the CIDR ranges are examples only.</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6"/>
        <w:szCs w:val="16"/>
      </w:rPr>
      <w:t xml:space="preserve">Screenshots are not included: CloudThat does not allow screenshots from its environment to be shared.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F3A5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ffdff7cdfc511748e3ca913083100d7cfec45b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Isolation for Dev / Test / Prod Using VPC Design and IAM</dc:title>
  <cp:lastModifiedBy>Un-named</cp:lastModifiedBy>
  <cp:revision>1</cp:revision>
  <dcterms:created xsi:type="dcterms:W3CDTF">2026-10-30T05:29:18.769Z</dcterms:created>
  <dcterms:modified xsi:type="dcterms:W3CDTF">2026-10-30T05:29:18.772Z</dcterms:modified>
</cp:coreProperties>
</file>

<file path=docProps/custom.xml><?xml version="1.0" encoding="utf-8"?>
<Properties xmlns="http://schemas.openxmlformats.org/officeDocument/2006/custom-properties" xmlns:vt="http://schemas.openxmlformats.org/officeDocument/2006/docPropsVTypes"/>
</file>