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338"/>
        <w:gridCol w:w="300"/>
        <w:gridCol w:w="3000"/>
      </w:tblGrid>
      <w:tr>
        <w:tc>
          <w:tcPr>
            <w:tcW w:type="dxa" w:w="6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428750" cy="19050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work: infographic panels on the 17 SDGs for Govardhan Ecovillage, and the Manthan Shivir book.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7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88e3da85443134ff53ae2bf9baafb6ef2d336d6a.jpg"/><Relationship Id="rId9" Type="http://schemas.openxmlformats.org/officeDocument/2006/relationships/image" Target="media/d421e02c69c30b1a6916c37e83b8d066080a804c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2026-10-28T11:47:28.551Z</dcterms:created>
  <dcterms:modified xsi:type="dcterms:W3CDTF">2026-10-28T11:47:28.551Z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