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pPr w:tblpX="0" w:tblpY="0" w:horzAnchor="page" w:vertAnchor="page"/>
        <w:tblOverlap w:val="never"/>
        <w:tblW w:type="dxa" w:w="119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53"/>
        <w:gridCol w:w="5953"/>
      </w:tblGrid>
      <w:tr>
        <w:trPr>
          <w:trHeight w:val="1400" w:hRule="exact"/>
        </w:trPr>
        <w:tc>
          <w:tcPr>
            <w:tcW w:type="dxa" w:w="5953"/>
            <w:tcBorders>
              <w:top w:val="none" w:color="FFFFFF" w:sz="0"/>
              <w:left w:val="none" w:color="FFFFFF" w:sz="0"/>
              <w:bottom w:val="none" w:color="FFFFFF" w:sz="0"/>
              <w:right w:val="none" w:color="FFFFFF" w:sz="0"/>
            </w:tcBorders>
            <w:shd w:fill="1F2340" w:color="auto" w:val="clear"/>
            <w:tcMar>
              <w:top w:type="dxa" w:w="0"/>
              <w:left w:type="dxa" w:w="1134"/>
              <w:bottom w:type="dxa" w:w="0"/>
              <w:right w:type="dxa" w:w="0"/>
            </w:tcMar>
            <w:vAlign w:val="center"/>
          </w:tcPr>
          <w:p>
            <w:pPr>
              <w:spacing w:after="0" w:before="0"/>
            </w:pPr>
            <w:r>
              <w:drawing>
                <wp:inline distT="0" distB="0" distL="0" distR="0">
                  <wp:extent cx="1714500" cy="676275"/>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714500" cy="676275"/>
                          </a:xfrm>
                          <a:prstGeom prst="rect">
                            <a:avLst/>
                          </a:prstGeom>
                        </pic:spPr>
                      </pic:pic>
                    </a:graphicData>
                  </a:graphic>
                </wp:inline>
              </w:drawing>
            </w:r>
          </w:p>
        </w:tc>
        <w:tc>
          <w:tcPr>
            <w:tcW w:type="dxa" w:w="5953"/>
            <w:tcBorders>
              <w:top w:val="none" w:color="FFFFFF" w:sz="0"/>
              <w:left w:val="none" w:color="FFFFFF" w:sz="0"/>
              <w:bottom w:val="none" w:color="FFFFFF" w:sz="0"/>
              <w:right w:val="none" w:color="FFFFFF" w:sz="0"/>
            </w:tcBorders>
            <w:shd w:fill="1F2340" w:color="auto" w:val="clear"/>
            <w:tcMar>
              <w:top w:type="dxa" w:w="0"/>
              <w:left w:type="dxa" w:w="0"/>
              <w:bottom w:type="dxa" w:w="0"/>
              <w:right w:type="dxa" w:w="1134"/>
            </w:tcMar>
            <w:vAlign w:val="center"/>
          </w:tcPr>
          <w:p>
            <w:pPr>
              <w:spacing w:after="30" w:before="0" w:line="290"/>
              <w:jc w:val="right"/>
            </w:pPr>
            <w:r>
              <w:rPr>
                <w:rFonts w:ascii="Palatino Linotype" w:cs="Palatino Linotype" w:eastAsia="Palatino Linotype" w:hAnsi="Palatino Linotype"/>
                <w:b/>
                <w:bCs/>
                <w:color w:val="9DCFE0"/>
                <w:spacing w:val="50"/>
                <w:sz w:val="15"/>
                <w:szCs w:val="15"/>
              </w:rPr>
              <w:t xml:space="preserve">TRUSTEE PROFILE</w:t>
            </w:r>
          </w:p>
          <w:p>
            <w:pPr>
              <w:spacing w:after="0" w:before="0" w:line="290"/>
              <w:jc w:val="right"/>
            </w:pPr>
            <w:r>
              <w:rPr>
                <w:rFonts w:ascii="Palatino Linotype" w:cs="Palatino Linotype" w:eastAsia="Palatino Linotype" w:hAnsi="Palatino Linotype"/>
                <w:color w:val="C9CEE0"/>
                <w:sz w:val="16"/>
                <w:szCs w:val="16"/>
              </w:rPr>
              <w:t xml:space="preserve">S3 Impact Foundation</w:t>
            </w:r>
          </w:p>
        </w:tc>
      </w:tr>
    </w:tbl>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338"/>
        <w:gridCol w:w="300"/>
        <w:gridCol w:w="3000"/>
      </w:tblGrid>
      <w:tr>
        <w:tc>
          <w:tcPr>
            <w:tcW w:type="dxa" w:w="633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0"/>
            </w:pPr>
            <w:r>
              <w:rPr>
                <w:rFonts w:ascii="Palatino Linotype" w:cs="Palatino Linotype" w:eastAsia="Palatino Linotype" w:hAnsi="Palatino Linotype"/>
                <w:color w:val="13162C"/>
                <w:sz w:val="52"/>
                <w:szCs w:val="52"/>
              </w:rPr>
              <w:t xml:space="preserve">Harneet Hariharan</w:t>
            </w:r>
          </w:p>
          <w:p>
            <w:pPr>
              <w:spacing w:after="80" w:before="0" w:line="290"/>
            </w:pPr>
            <w:r>
              <w:rPr>
                <w:rFonts w:ascii="Palatino Linotype" w:cs="Palatino Linotype" w:eastAsia="Palatino Linotype" w:hAnsi="Palatino Linotype"/>
                <w:i/>
                <w:iCs/>
                <w:color w:val="2F7FA0"/>
                <w:sz w:val="26"/>
                <w:szCs w:val="26"/>
              </w:rPr>
              <w:t xml:space="preserve">Rādhikā Līlā Devī Dāsī</w:t>
            </w:r>
          </w:p>
          <w:tbl>
            <w:tblPr>
              <w:tblW w:type="dxa" w:w="3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00"/>
            </w:tblGrid>
            <w:tr>
              <w:tc>
                <w:tcPr>
                  <w:tcW w:type="dxa" w:w="3000"/>
                  <w:tcBorders>
                    <w:top w:val="none" w:color="FFFFFF" w:sz="0"/>
                    <w:left w:val="none" w:color="FFFFFF" w:sz="0"/>
                    <w:bottom w:val="none" w:color="FFFFFF" w:sz="0"/>
                    <w:right w:val="none" w:color="FFFFFF" w:sz="0"/>
                  </w:tcBorders>
                  <w:shd w:fill="B23F20" w:color="auto" w:val="clear"/>
                  <w:tcMar>
                    <w:top w:type="dxa" w:w="70"/>
                    <w:left w:type="dxa" w:w="180"/>
                    <w:bottom w:type="dxa" w:w="70"/>
                    <w:right w:type="dxa" w:w="180"/>
                  </w:tcMar>
                  <w:vAlign w:val="top"/>
                </w:tcPr>
                <w:p>
                  <w:pPr>
                    <w:spacing w:after="0" w:before="0" w:line="240"/>
                  </w:pPr>
                  <w:r>
                    <w:rPr>
                      <w:rFonts w:ascii="Palatino Linotype" w:cs="Palatino Linotype" w:eastAsia="Palatino Linotype" w:hAnsi="Palatino Linotype"/>
                      <w:b/>
                      <w:bCs/>
                      <w:color w:val="FFFFFF"/>
                      <w:spacing w:val="40"/>
                      <w:sz w:val="16"/>
                      <w:szCs w:val="16"/>
                    </w:rPr>
                    <w:t xml:space="preserve">MANAGING TRUSTEE</w:t>
                  </w:r>
                </w:p>
              </w:tc>
            </w:tr>
          </w:tbl>
          <w:p>
            <w:pPr>
              <w:spacing w:after="160" w:before="0" w:line="290"/>
            </w:pPr>
          </w:p>
          <w:p>
            <w:pPr>
              <w:spacing w:after="0" w:before="0" w:line="320"/>
            </w:pPr>
            <w:r>
              <w:rPr>
                <w:rFonts w:ascii="Palatino Linotype" w:cs="Palatino Linotype" w:eastAsia="Palatino Linotype" w:hAnsi="Palatino Linotype"/>
                <w:color w:val="13162C"/>
                <w:sz w:val="23"/>
                <w:szCs w:val="23"/>
              </w:rPr>
              <w:t xml:space="preserve">As Managing Trustee, Harneet </w:t>
            </w:r>
            <w:r>
              <w:rPr>
                <w:rFonts w:ascii="Palatino Linotype" w:cs="Palatino Linotype" w:eastAsia="Palatino Linotype" w:hAnsi="Palatino Linotype"/>
                <w:b/>
                <w:bCs/>
                <w:color w:val="B23F20"/>
                <w:sz w:val="23"/>
                <w:szCs w:val="23"/>
              </w:rPr>
              <w:t xml:space="preserve">sets the direction of S3 Impact Foundation</w:t>
            </w:r>
            <w:r>
              <w:rPr>
                <w:rFonts w:ascii="Palatino Linotype" w:cs="Palatino Linotype" w:eastAsia="Palatino Linotype" w:hAnsi="Palatino Linotype"/>
                <w:color w:val="13162C"/>
                <w:sz w:val="23"/>
                <w:szCs w:val="23"/>
              </w:rPr>
              <w:t xml:space="preserve"> and follows its projects closely, from community kitchens and village classrooms to the sacred ponds of Braj. She brings </w:t>
            </w:r>
            <w:r>
              <w:rPr>
                <w:rFonts w:ascii="Palatino Linotype" w:cs="Palatino Linotype" w:eastAsia="Palatino Linotype" w:hAnsi="Palatino Linotype"/>
                <w:b/>
                <w:bCs/>
                <w:color w:val="B23F20"/>
                <w:sz w:val="23"/>
                <w:szCs w:val="23"/>
              </w:rPr>
              <w:t xml:space="preserve">three decades of building and leading a national business</w:t>
            </w:r>
            <w:r>
              <w:rPr>
                <w:rFonts w:ascii="Palatino Linotype" w:cs="Palatino Linotype" w:eastAsia="Palatino Linotype" w:hAnsi="Palatino Linotype"/>
                <w:color w:val="13162C"/>
                <w:sz w:val="23"/>
                <w:szCs w:val="23"/>
              </w:rPr>
              <w:t xml:space="preserve">, and a long commitment to service.</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90"/>
            </w:pPr>
          </w:p>
        </w:tc>
        <w:tc>
          <w:tcPr>
            <w:tcW w:type="dxa" w:w="30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jc w:val="right"/>
            </w:pPr>
            <w:r>
              <w:drawing>
                <wp:inline distT="0" distB="0" distL="0" distR="0">
                  <wp:extent cx="1428750" cy="19050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428750" cy="1905000"/>
                          </a:xfrm>
                          <a:prstGeom prst="rect">
                            <a:avLst/>
                          </a:prstGeom>
                        </pic:spPr>
                      </pic:pic>
                    </a:graphicData>
                  </a:graphic>
                </wp:inline>
              </w:drawing>
            </w:r>
          </w:p>
        </w:tc>
      </w:tr>
    </w:tbl>
    <w:p>
      <w:pPr>
        <w:spacing w:after="200" w:before="0" w:line="290"/>
      </w:pPr>
    </w:p>
    <w:p>
      <w:pPr>
        <w:spacing w:after="60" w:before="0"/>
      </w:pPr>
      <w:r>
        <w:drawing>
          <wp:inline distT="0" distB="0" distL="0" distR="0">
            <wp:extent cx="6115050" cy="238125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15050" cy="2381250"/>
                    </a:xfrm>
                    <a:prstGeom prst="rect">
                      <a:avLst/>
                    </a:prstGeom>
                  </pic:spPr>
                </pic:pic>
              </a:graphicData>
            </a:graphic>
          </wp:inline>
        </w:drawing>
      </w:r>
    </w:p>
    <w:p>
      <w:pPr>
        <w:spacing w:after="220" w:before="0" w:line="290"/>
      </w:pPr>
      <w:r>
        <w:rPr>
          <w:rFonts w:ascii="Palatino Linotype" w:cs="Palatino Linotype" w:eastAsia="Palatino Linotype" w:hAnsi="Palatino Linotype"/>
          <w:i/>
          <w:iCs/>
          <w:color w:val="5A5F7E"/>
          <w:sz w:val="15"/>
          <w:szCs w:val="15"/>
        </w:rPr>
        <w:t xml:space="preserve">Harneet on site with the project team, reviewing restoration plans.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250"/>
        <w:gridCol w:w="300"/>
        <w:gridCol w:w="3088"/>
      </w:tblGrid>
      <w:tr>
        <w:tc>
          <w:tcPr>
            <w:tcW w:type="dxa" w:w="625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150" w:before="0" w:line="300"/>
            </w:pPr>
            <w:r>
              <w:rPr>
                <w:rFonts w:ascii="Palatino Linotype" w:cs="Palatino Linotype" w:eastAsia="Palatino Linotype" w:hAnsi="Palatino Linotype"/>
                <w:color w:val="2E3250"/>
                <w:sz w:val="20"/>
                <w:szCs w:val="20"/>
              </w:rPr>
              <w:t xml:space="preserve">Harneet holds a degree in physics, chemistry and mathematics, and an </w:t>
            </w:r>
            <w:r>
              <w:rPr>
                <w:rFonts w:ascii="Palatino Linotype" w:cs="Palatino Linotype" w:eastAsia="Palatino Linotype" w:hAnsi="Palatino Linotype"/>
                <w:b/>
                <w:bCs/>
                <w:color w:val="13162C"/>
                <w:sz w:val="20"/>
                <w:szCs w:val="20"/>
              </w:rPr>
              <w:t xml:space="preserve">MBA in International Marketing</w:t>
            </w:r>
            <w:r>
              <w:rPr>
                <w:rFonts w:ascii="Palatino Linotype" w:cs="Palatino Linotype" w:eastAsia="Palatino Linotype" w:hAnsi="Palatino Linotype"/>
                <w:color w:val="2E3250"/>
                <w:sz w:val="20"/>
                <w:szCs w:val="20"/>
              </w:rPr>
              <w:t xml:space="preserve"> from the Faculty of Management Studies, M.S. University of Baroda. In 1993 she </w:t>
            </w:r>
            <w:r>
              <w:rPr>
                <w:rFonts w:ascii="Palatino Linotype" w:cs="Palatino Linotype" w:eastAsia="Palatino Linotype" w:hAnsi="Palatino Linotype"/>
                <w:b/>
                <w:bCs/>
                <w:color w:val="13162C"/>
                <w:sz w:val="20"/>
                <w:szCs w:val="20"/>
              </w:rPr>
              <w:t xml:space="preserve">founded Pace Setters Business Solutions</w:t>
            </w:r>
            <w:r>
              <w:rPr>
                <w:rFonts w:ascii="Palatino Linotype" w:cs="Palatino Linotype" w:eastAsia="Palatino Linotype" w:hAnsi="Palatino Linotype"/>
                <w:color w:val="2E3250"/>
                <w:sz w:val="20"/>
                <w:szCs w:val="20"/>
              </w:rPr>
              <w:t xml:space="preserve"> with a team of fifteen, and as its Chairperson and Managing Director has grown it into a national business-process company of </w:t>
            </w:r>
            <w:r>
              <w:rPr>
                <w:rFonts w:ascii="Palatino Linotype" w:cs="Palatino Linotype" w:eastAsia="Palatino Linotype" w:hAnsi="Palatino Linotype"/>
                <w:b/>
                <w:bCs/>
                <w:color w:val="13162C"/>
                <w:sz w:val="20"/>
                <w:szCs w:val="20"/>
              </w:rPr>
              <w:t xml:space="preserve">more than 5,000 people</w:t>
            </w:r>
            <w:r>
              <w:rPr>
                <w:rFonts w:ascii="Palatino Linotype" w:cs="Palatino Linotype" w:eastAsia="Palatino Linotype" w:hAnsi="Palatino Linotype"/>
                <w:color w:val="2E3250"/>
                <w:sz w:val="20"/>
                <w:szCs w:val="20"/>
              </w:rPr>
              <w:t xml:space="preserve">.</w:t>
            </w:r>
          </w:p>
          <w:p>
            <w:pPr>
              <w:spacing w:after="150" w:before="0" w:line="300"/>
            </w:pPr>
            <w:r>
              <w:rPr>
                <w:rFonts w:ascii="Palatino Linotype" w:cs="Palatino Linotype" w:eastAsia="Palatino Linotype" w:hAnsi="Palatino Linotype"/>
                <w:color w:val="2E3250"/>
                <w:sz w:val="20"/>
                <w:szCs w:val="20"/>
              </w:rPr>
              <w:t xml:space="preserve">In 2022 she began </w:t>
            </w:r>
            <w:r>
              <w:rPr>
                <w:rFonts w:ascii="Palatino Linotype" w:cs="Palatino Linotype" w:eastAsia="Palatino Linotype" w:hAnsi="Palatino Linotype"/>
                <w:b/>
                <w:bCs/>
                <w:color w:val="13162C"/>
                <w:sz w:val="20"/>
                <w:szCs w:val="20"/>
              </w:rPr>
              <w:t xml:space="preserve">dedicating the profits of her company to service</w:t>
            </w:r>
            <w:r>
              <w:rPr>
                <w:rFonts w:ascii="Palatino Linotype" w:cs="Palatino Linotype" w:eastAsia="Palatino Linotype" w:hAnsi="Palatino Linotype"/>
                <w:color w:val="2E3250"/>
                <w:sz w:val="20"/>
                <w:szCs w:val="20"/>
              </w:rPr>
              <w:t xml:space="preserve">, supporting Govardhan Annakshetra, the renewal of the temple at Govardhan Ecovillage, the Govardhan Skill Centre, the Bhakti Bhavan project in Kolkata and the revival of the sacred kunds of Braj. Her work is anchored in daily spiritual practice and the study of scripture, under the guidance of His Holiness Rādhānāth Swāmī Mahārāja and His Grace Gaurāṅga Dās.</w:t>
            </w:r>
          </w:p>
          <w:p>
            <w:pPr>
              <w:spacing w:after="150" w:before="0" w:line="300"/>
            </w:pPr>
            <w:r>
              <w:rPr>
                <w:rFonts w:ascii="Palatino Linotype" w:cs="Palatino Linotype" w:eastAsia="Palatino Linotype" w:hAnsi="Palatino Linotype"/>
                <w:color w:val="2E3250"/>
                <w:sz w:val="20"/>
                <w:szCs w:val="20"/>
              </w:rPr>
              <w:t xml:space="preserve">A year later she became </w:t>
            </w:r>
            <w:r>
              <w:rPr>
                <w:rFonts w:ascii="Palatino Linotype" w:cs="Palatino Linotype" w:eastAsia="Palatino Linotype" w:hAnsi="Palatino Linotype"/>
                <w:b/>
                <w:bCs/>
                <w:color w:val="13162C"/>
                <w:sz w:val="20"/>
                <w:szCs w:val="20"/>
              </w:rPr>
              <w:t xml:space="preserve">CEO of the Social Impact Initiatives of ISKCON Govardhan Ecovillage</w:t>
            </w:r>
            <w:r>
              <w:rPr>
                <w:rFonts w:ascii="Palatino Linotype" w:cs="Palatino Linotype" w:eastAsia="Palatino Linotype" w:hAnsi="Palatino Linotype"/>
                <w:color w:val="2E3250"/>
                <w:sz w:val="20"/>
                <w:szCs w:val="20"/>
              </w:rPr>
              <w:t xml:space="preserve">, where she leads work in nutrition, water and skilling. Govardhan Annakshetra has served </w:t>
            </w:r>
            <w:r>
              <w:rPr>
                <w:rFonts w:ascii="Palatino Linotype" w:cs="Palatino Linotype" w:eastAsia="Palatino Linotype" w:hAnsi="Palatino Linotype"/>
                <w:b/>
                <w:bCs/>
                <w:color w:val="13162C"/>
                <w:sz w:val="20"/>
                <w:szCs w:val="20"/>
              </w:rPr>
              <w:t xml:space="preserve">more than 7.18 million free meals</w:t>
            </w:r>
            <w:r>
              <w:rPr>
                <w:rFonts w:ascii="Palatino Linotype" w:cs="Palatino Linotype" w:eastAsia="Palatino Linotype" w:hAnsi="Palatino Linotype"/>
                <w:color w:val="2E3250"/>
                <w:sz w:val="20"/>
                <w:szCs w:val="20"/>
              </w:rPr>
              <w:t xml:space="preserve"> in Palghar. In Braj, she initiated and coordinated the revival of the sacred kunds: </w:t>
            </w:r>
            <w:r>
              <w:rPr>
                <w:rFonts w:ascii="Palatino Linotype" w:cs="Palatino Linotype" w:eastAsia="Palatino Linotype" w:hAnsi="Palatino Linotype"/>
                <w:b/>
                <w:bCs/>
                <w:color w:val="13162C"/>
                <w:sz w:val="20"/>
                <w:szCs w:val="20"/>
              </w:rPr>
              <w:t xml:space="preserve">Priya Kund and Prem Sarovar are complete</w:t>
            </w:r>
            <w:r>
              <w:rPr>
                <w:rFonts w:ascii="Palatino Linotype" w:cs="Palatino Linotype" w:eastAsia="Palatino Linotype" w:hAnsi="Palatino Linotype"/>
                <w:color w:val="2E3250"/>
                <w:sz w:val="20"/>
                <w:szCs w:val="20"/>
              </w:rPr>
              <w:t xml:space="preserve">, five more sites are progressing with the government, and local Kund Mitras now care for the ponds. The Braj Tirtha Vikas Parishad has encouraged the model’s expansion. She also set up the </w:t>
            </w:r>
            <w:r>
              <w:rPr>
                <w:rFonts w:ascii="Palatino Linotype" w:cs="Palatino Linotype" w:eastAsia="Palatino Linotype" w:hAnsi="Palatino Linotype"/>
                <w:b/>
                <w:bCs/>
                <w:color w:val="13162C"/>
                <w:sz w:val="20"/>
                <w:szCs w:val="20"/>
              </w:rPr>
              <w:t xml:space="preserve">Centre of Excellence for electric-vehicle skilling</w:t>
            </w:r>
            <w:r>
              <w:rPr>
                <w:rFonts w:ascii="Palatino Linotype" w:cs="Palatino Linotype" w:eastAsia="Palatino Linotype" w:hAnsi="Palatino Linotype"/>
                <w:color w:val="2E3250"/>
                <w:sz w:val="20"/>
                <w:szCs w:val="20"/>
              </w:rPr>
              <w:t xml:space="preserve"> at Boisar with Tata Capital, linking young people from tribal communities to employers.</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90"/>
            </w:pPr>
          </w:p>
        </w:tc>
        <w:tc>
          <w:tcPr>
            <w:tcW w:type="dxa" w:w="3088"/>
            <w:tcBorders>
              <w:top w:val="single" w:color="B23F20" w:sz="24"/>
              <w:left w:val="none" w:color="FFFFFF" w:sz="0"/>
              <w:bottom w:val="none" w:color="FFFFFF" w:sz="0"/>
              <w:right w:val="none" w:color="FFFFFF" w:sz="0"/>
            </w:tcBorders>
            <w:shd w:fill="F3F6F7" w:color="auto" w:val="clear"/>
            <w:tcMar>
              <w:top w:type="dxa" w:w="220"/>
              <w:left w:type="dxa" w:w="240"/>
              <w:bottom w:type="dxa" w:w="220"/>
              <w:right w:type="dxa" w:w="240"/>
            </w:tcMar>
            <w:vAlign w:val="top"/>
          </w:tcPr>
          <w:p>
            <w:pPr>
              <w:keepNext/>
              <w:spacing w:after="80" w:before="0" w:line="290"/>
            </w:pPr>
            <w:r>
              <w:rPr>
                <w:rFonts w:ascii="Palatino Linotype" w:cs="Palatino Linotype" w:eastAsia="Palatino Linotype" w:hAnsi="Palatino Linotype"/>
                <w:b/>
                <w:bCs/>
                <w:color w:val="B23F20"/>
                <w:spacing w:val="40"/>
                <w:sz w:val="15"/>
                <w:szCs w:val="15"/>
              </w:rPr>
              <w:t xml:space="preserve">AT A GLANCE</w:t>
            </w:r>
          </w:p>
          <w:p>
            <w:pPr>
              <w:spacing w:after="0" w:before="0" w:line="250"/>
            </w:pPr>
            <w:r>
              <w:rPr>
                <w:rFonts w:ascii="Palatino Linotype" w:cs="Palatino Linotype" w:eastAsia="Palatino Linotype" w:hAnsi="Palatino Linotype"/>
                <w:color w:val="B23F20"/>
                <w:sz w:val="34"/>
                <w:szCs w:val="34"/>
              </w:rPr>
              <w:t xml:space="preserve">1993</w:t>
            </w:r>
          </w:p>
          <w:p>
            <w:pPr>
              <w:spacing w:after="150" w:before="0" w:line="240"/>
            </w:pPr>
            <w:r>
              <w:rPr>
                <w:rFonts w:ascii="Palatino Linotype" w:cs="Palatino Linotype" w:eastAsia="Palatino Linotype" w:hAnsi="Palatino Linotype"/>
                <w:color w:val="5A5F7E"/>
                <w:sz w:val="16"/>
                <w:szCs w:val="16"/>
              </w:rPr>
              <w:t xml:space="preserve">Founded Pace Setters Business Solutions</w:t>
            </w:r>
          </w:p>
          <w:p>
            <w:pPr>
              <w:spacing w:after="0" w:before="0" w:line="250"/>
            </w:pPr>
            <w:r>
              <w:rPr>
                <w:rFonts w:ascii="Palatino Linotype" w:cs="Palatino Linotype" w:eastAsia="Palatino Linotype" w:hAnsi="Palatino Linotype"/>
                <w:color w:val="A86B00"/>
                <w:sz w:val="34"/>
                <w:szCs w:val="34"/>
              </w:rPr>
              <w:t xml:space="preserve">5,000+</w:t>
            </w:r>
          </w:p>
          <w:p>
            <w:pPr>
              <w:spacing w:after="150" w:before="0" w:line="240"/>
            </w:pPr>
            <w:r>
              <w:rPr>
                <w:rFonts w:ascii="Palatino Linotype" w:cs="Palatino Linotype" w:eastAsia="Palatino Linotype" w:hAnsi="Palatino Linotype"/>
                <w:color w:val="5A5F7E"/>
                <w:sz w:val="16"/>
                <w:szCs w:val="16"/>
              </w:rPr>
              <w:t xml:space="preserve">People in the company she leads</w:t>
            </w:r>
          </w:p>
          <w:p>
            <w:pPr>
              <w:spacing w:after="0" w:before="0" w:line="250"/>
            </w:pPr>
            <w:r>
              <w:rPr>
                <w:rFonts w:ascii="Palatino Linotype" w:cs="Palatino Linotype" w:eastAsia="Palatino Linotype" w:hAnsi="Palatino Linotype"/>
                <w:color w:val="2F6B36"/>
                <w:sz w:val="34"/>
                <w:szCs w:val="34"/>
              </w:rPr>
              <w:t xml:space="preserve">7.18M</w:t>
            </w:r>
          </w:p>
          <w:p>
            <w:pPr>
              <w:spacing w:after="150" w:before="0" w:line="240"/>
            </w:pPr>
            <w:r>
              <w:rPr>
                <w:rFonts w:ascii="Palatino Linotype" w:cs="Palatino Linotype" w:eastAsia="Palatino Linotype" w:hAnsi="Palatino Linotype"/>
                <w:color w:val="5A5F7E"/>
                <w:sz w:val="16"/>
                <w:szCs w:val="16"/>
              </w:rPr>
              <w:t xml:space="preserve">Free meals served by Govardhan Annakshetra</w:t>
            </w:r>
          </w:p>
          <w:p>
            <w:pPr>
              <w:spacing w:after="0" w:before="0" w:line="250"/>
            </w:pPr>
            <w:r>
              <w:rPr>
                <w:rFonts w:ascii="Palatino Linotype" w:cs="Palatino Linotype" w:eastAsia="Palatino Linotype" w:hAnsi="Palatino Linotype"/>
                <w:color w:val="1F6A8A"/>
                <w:sz w:val="34"/>
                <w:szCs w:val="34"/>
              </w:rPr>
              <w:t xml:space="preserve">2 + 5</w:t>
            </w:r>
          </w:p>
          <w:p>
            <w:pPr>
              <w:spacing w:after="150" w:before="0" w:line="240"/>
            </w:pPr>
            <w:r>
              <w:rPr>
                <w:rFonts w:ascii="Palatino Linotype" w:cs="Palatino Linotype" w:eastAsia="Palatino Linotype" w:hAnsi="Palatino Linotype"/>
                <w:color w:val="5A5F7E"/>
                <w:sz w:val="16"/>
                <w:szCs w:val="16"/>
              </w:rPr>
              <w:t xml:space="preserve">Kunds revived in Braj, with five more under way</w:t>
            </w:r>
          </w:p>
          <w:p>
            <w:pPr>
              <w:keepNext/>
              <w:spacing w:after="80" w:before="60" w:line="290"/>
            </w:pPr>
            <w:r>
              <w:rPr>
                <w:rFonts w:ascii="Palatino Linotype" w:cs="Palatino Linotype" w:eastAsia="Palatino Linotype" w:hAnsi="Palatino Linotype"/>
                <w:b/>
                <w:bCs/>
                <w:color w:val="B23F20"/>
                <w:spacing w:val="40"/>
                <w:sz w:val="15"/>
                <w:szCs w:val="15"/>
              </w:rPr>
              <w:t xml:space="preserve">EDUCATION</w:t>
            </w:r>
          </w:p>
          <w:p>
            <w:pPr>
              <w:spacing w:after="80" w:before="0" w:line="250"/>
            </w:pPr>
            <w:r>
              <w:rPr>
                <w:rFonts w:ascii="Palatino Linotype" w:cs="Palatino Linotype" w:eastAsia="Palatino Linotype" w:hAnsi="Palatino Linotype"/>
                <w:b/>
                <w:bCs/>
                <w:color w:val="13162C"/>
                <w:sz w:val="17"/>
                <w:szCs w:val="17"/>
              </w:rPr>
              <w:t xml:space="preserve">MBA,</w:t>
            </w:r>
            <w:r>
              <w:rPr>
                <w:rFonts w:ascii="Palatino Linotype" w:cs="Palatino Linotype" w:eastAsia="Palatino Linotype" w:hAnsi="Palatino Linotype"/>
                <w:color w:val="5A5F7E"/>
                <w:sz w:val="16"/>
                <w:szCs w:val="16"/>
              </w:rPr>
              <w:t xml:space="preserve"> International Marketing, Faculty of Management Studies, M.S. University of Baroda</w:t>
            </w:r>
          </w:p>
          <w:p>
            <w:pPr>
              <w:spacing w:after="80" w:before="0" w:line="250"/>
            </w:pPr>
            <w:r>
              <w:rPr>
                <w:rFonts w:ascii="Palatino Linotype" w:cs="Palatino Linotype" w:eastAsia="Palatino Linotype" w:hAnsi="Palatino Linotype"/>
                <w:b/>
                <w:bCs/>
                <w:color w:val="13162C"/>
                <w:sz w:val="17"/>
                <w:szCs w:val="17"/>
              </w:rPr>
              <w:t xml:space="preserve">B.Sc.,</w:t>
            </w:r>
            <w:r>
              <w:rPr>
                <w:rFonts w:ascii="Palatino Linotype" w:cs="Palatino Linotype" w:eastAsia="Palatino Linotype" w:hAnsi="Palatino Linotype"/>
                <w:color w:val="5A5F7E"/>
                <w:sz w:val="16"/>
                <w:szCs w:val="16"/>
              </w:rPr>
              <w:t xml:space="preserve"> Physics, Chemistry and Mathematics</w:t>
            </w:r>
          </w:p>
          <w:p>
            <w:pPr>
              <w:keepNext/>
              <w:spacing w:after="80" w:before="100" w:line="290"/>
            </w:pPr>
            <w:r>
              <w:rPr>
                <w:rFonts w:ascii="Palatino Linotype" w:cs="Palatino Linotype" w:eastAsia="Palatino Linotype" w:hAnsi="Palatino Linotype"/>
                <w:b/>
                <w:bCs/>
                <w:color w:val="B23F20"/>
                <w:spacing w:val="40"/>
                <w:sz w:val="15"/>
                <w:szCs w:val="15"/>
              </w:rPr>
              <w:t xml:space="preserve">AREAS OF FOCUS</w:t>
            </w:r>
          </w:p>
          <w:p>
            <w:pPr>
              <w:spacing w:after="40" w:before="0" w:line="250"/>
            </w:pPr>
            <w:r>
              <w:rPr>
                <w:rFonts w:ascii="Palatino Linotype" w:cs="Palatino Linotype" w:eastAsia="Palatino Linotype" w:hAnsi="Palatino Linotype"/>
                <w:color w:val="B23F20"/>
                <w:sz w:val="15"/>
                <w:szCs w:val="15"/>
              </w:rPr>
              <w:t xml:space="preserve">■  </w:t>
            </w:r>
            <w:r>
              <w:rPr>
                <w:rFonts w:ascii="Palatino Linotype" w:cs="Palatino Linotype" w:eastAsia="Palatino Linotype" w:hAnsi="Palatino Linotype"/>
                <w:color w:val="2E3250"/>
                <w:sz w:val="17"/>
                <w:szCs w:val="17"/>
              </w:rPr>
              <w:t xml:space="preserve">Nutrition and food security</w:t>
            </w:r>
          </w:p>
          <w:p>
            <w:pPr>
              <w:spacing w:after="40" w:before="0" w:line="250"/>
            </w:pPr>
            <w:r>
              <w:rPr>
                <w:rFonts w:ascii="Palatino Linotype" w:cs="Palatino Linotype" w:eastAsia="Palatino Linotype" w:hAnsi="Palatino Linotype"/>
                <w:color w:val="1F6A8A"/>
                <w:sz w:val="15"/>
                <w:szCs w:val="15"/>
              </w:rPr>
              <w:t xml:space="preserve">■  </w:t>
            </w:r>
            <w:r>
              <w:rPr>
                <w:rFonts w:ascii="Palatino Linotype" w:cs="Palatino Linotype" w:eastAsia="Palatino Linotype" w:hAnsi="Palatino Linotype"/>
                <w:color w:val="2E3250"/>
                <w:sz w:val="17"/>
                <w:szCs w:val="17"/>
              </w:rPr>
              <w:t xml:space="preserve">Water and sacred ponds</w:t>
            </w:r>
          </w:p>
          <w:p>
            <w:pPr>
              <w:spacing w:after="40" w:before="0" w:line="250"/>
            </w:pPr>
            <w:r>
              <w:rPr>
                <w:rFonts w:ascii="Palatino Linotype" w:cs="Palatino Linotype" w:eastAsia="Palatino Linotype" w:hAnsi="Palatino Linotype"/>
                <w:color w:val="2F6B36"/>
                <w:sz w:val="15"/>
                <w:szCs w:val="15"/>
              </w:rPr>
              <w:t xml:space="preserve">■  </w:t>
            </w:r>
            <w:r>
              <w:rPr>
                <w:rFonts w:ascii="Palatino Linotype" w:cs="Palatino Linotype" w:eastAsia="Palatino Linotype" w:hAnsi="Palatino Linotype"/>
                <w:color w:val="2E3250"/>
                <w:sz w:val="17"/>
                <w:szCs w:val="17"/>
              </w:rPr>
              <w:t xml:space="preserve">Skills and livelihoods</w:t>
            </w:r>
          </w:p>
          <w:p>
            <w:pPr>
              <w:spacing w:after="40" w:before="0" w:line="250"/>
            </w:pPr>
            <w:r>
              <w:rPr>
                <w:rFonts w:ascii="Palatino Linotype" w:cs="Palatino Linotype" w:eastAsia="Palatino Linotype" w:hAnsi="Palatino Linotype"/>
                <w:color w:val="A86B00"/>
                <w:sz w:val="15"/>
                <w:szCs w:val="15"/>
              </w:rPr>
              <w:t xml:space="preserve">■  </w:t>
            </w:r>
            <w:r>
              <w:rPr>
                <w:rFonts w:ascii="Palatino Linotype" w:cs="Palatino Linotype" w:eastAsia="Palatino Linotype" w:hAnsi="Palatino Linotype"/>
                <w:color w:val="2E3250"/>
                <w:sz w:val="17"/>
                <w:szCs w:val="17"/>
              </w:rPr>
              <w:t xml:space="preserve">Heritage and temples</w:t>
            </w:r>
          </w:p>
          <w:p>
            <w:pPr>
              <w:spacing w:after="40" w:before="0" w:line="250"/>
            </w:pPr>
            <w:r>
              <w:rPr>
                <w:rFonts w:ascii="Palatino Linotype" w:cs="Palatino Linotype" w:eastAsia="Palatino Linotype" w:hAnsi="Palatino Linotype"/>
                <w:color w:val="2F7FA0"/>
                <w:sz w:val="15"/>
                <w:szCs w:val="15"/>
              </w:rPr>
              <w:t xml:space="preserve">■  </w:t>
            </w:r>
            <w:r>
              <w:rPr>
                <w:rFonts w:ascii="Palatino Linotype" w:cs="Palatino Linotype" w:eastAsia="Palatino Linotype" w:hAnsi="Palatino Linotype"/>
                <w:color w:val="2E3250"/>
                <w:sz w:val="17"/>
                <w:szCs w:val="17"/>
              </w:rPr>
              <w:t xml:space="preserve">Institution building</w:t>
            </w:r>
          </w:p>
        </w:tc>
      </w:tr>
    </w:tbl>
    <w:p>
      <w:pPr>
        <w:keepNext/>
        <w:spacing w:after="80" w:before="220" w:line="290"/>
      </w:pPr>
      <w:r>
        <w:rPr>
          <w:rFonts w:ascii="Palatino Linotype" w:cs="Palatino Linotype" w:eastAsia="Palatino Linotype" w:hAnsi="Palatino Linotype"/>
          <w:b/>
          <w:bCs/>
          <w:color w:val="B23F20"/>
          <w:spacing w:val="40"/>
          <w:sz w:val="15"/>
          <w:szCs w:val="15"/>
        </w:rPr>
        <w:t xml:space="preserve">MILESTONES</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9"/>
        <w:gridCol w:w="2409"/>
        <w:gridCol w:w="2409"/>
        <w:gridCol w:w="2411"/>
      </w:tblGrid>
      <w:tr>
        <w:trPr>
          <w:cantSplit/>
        </w:trPr>
        <w:tc>
          <w:tcPr>
            <w:tcW w:type="dxa" w:w="2409"/>
            <w:tcBorders>
              <w:top w:val="single" w:color="2F7FA0" w:sz="24"/>
              <w:left w:val="none" w:color="FFFFFF" w:sz="0"/>
              <w:bottom w:val="none" w:color="FFFFFF" w:sz="0"/>
              <w:right w:val="none" w:color="FFFFFF" w:sz="0"/>
            </w:tcBorders>
            <w:shd w:fill="F3F6F7" w:color="auto" w:val="clear"/>
            <w:tcMar>
              <w:top w:type="dxa" w:w="130"/>
              <w:left w:type="dxa" w:w="140"/>
              <w:bottom w:type="dxa" w:w="130"/>
              <w:right w:type="dxa" w:w="140"/>
            </w:tcMar>
            <w:vAlign w:val="top"/>
          </w:tcPr>
          <w:p>
            <w:pPr>
              <w:spacing w:after="40" w:before="0" w:line="260"/>
            </w:pPr>
            <w:r>
              <w:rPr>
                <w:rFonts w:ascii="Palatino Linotype" w:cs="Palatino Linotype" w:eastAsia="Palatino Linotype" w:hAnsi="Palatino Linotype"/>
                <w:color w:val="2F7FA0"/>
                <w:sz w:val="30"/>
                <w:szCs w:val="30"/>
              </w:rPr>
              <w:t xml:space="preserve">1990</w:t>
            </w:r>
          </w:p>
          <w:p>
            <w:pPr>
              <w:spacing w:after="0" w:before="0" w:line="250"/>
            </w:pPr>
            <w:r>
              <w:rPr>
                <w:rFonts w:ascii="Palatino Linotype" w:cs="Palatino Linotype" w:eastAsia="Palatino Linotype" w:hAnsi="Palatino Linotype"/>
                <w:b/>
                <w:bCs/>
                <w:color w:val="13162C"/>
                <w:sz w:val="16"/>
                <w:szCs w:val="16"/>
              </w:rPr>
              <w:t xml:space="preserve">MBA</w:t>
            </w:r>
            <w:r>
              <w:rPr>
                <w:rFonts w:ascii="Palatino Linotype" w:cs="Palatino Linotype" w:eastAsia="Palatino Linotype" w:hAnsi="Palatino Linotype"/>
                <w:color w:val="2E3250"/>
                <w:sz w:val="16"/>
                <w:szCs w:val="16"/>
              </w:rPr>
              <w:t xml:space="preserve">, Faculty of Management Studies, Baroda</w:t>
            </w:r>
          </w:p>
        </w:tc>
        <w:tc>
          <w:tcPr>
            <w:tcW w:type="dxa" w:w="2409"/>
            <w:tcBorders>
              <w:top w:val="single" w:color="A86B00" w:sz="24"/>
              <w:left w:val="none" w:color="FFFFFF" w:sz="0"/>
              <w:bottom w:val="none" w:color="FFFFFF" w:sz="0"/>
              <w:right w:val="none" w:color="FFFFFF" w:sz="0"/>
            </w:tcBorders>
            <w:shd w:fill="F3F6F7" w:color="auto" w:val="clear"/>
            <w:tcMar>
              <w:top w:type="dxa" w:w="130"/>
              <w:left w:type="dxa" w:w="140"/>
              <w:bottom w:type="dxa" w:w="130"/>
              <w:right w:type="dxa" w:w="140"/>
            </w:tcMar>
            <w:vAlign w:val="top"/>
          </w:tcPr>
          <w:p>
            <w:pPr>
              <w:spacing w:after="40" w:before="0" w:line="260"/>
            </w:pPr>
            <w:r>
              <w:rPr>
                <w:rFonts w:ascii="Palatino Linotype" w:cs="Palatino Linotype" w:eastAsia="Palatino Linotype" w:hAnsi="Palatino Linotype"/>
                <w:color w:val="A86B00"/>
                <w:sz w:val="30"/>
                <w:szCs w:val="30"/>
              </w:rPr>
              <w:t xml:space="preserve">1993</w:t>
            </w:r>
          </w:p>
          <w:p>
            <w:pPr>
              <w:spacing w:after="0" w:before="0" w:line="250"/>
            </w:pPr>
            <w:r>
              <w:rPr>
                <w:rFonts w:ascii="Palatino Linotype" w:cs="Palatino Linotype" w:eastAsia="Palatino Linotype" w:hAnsi="Palatino Linotype"/>
                <w:b/>
                <w:bCs/>
                <w:color w:val="13162C"/>
                <w:sz w:val="16"/>
                <w:szCs w:val="16"/>
              </w:rPr>
              <w:t xml:space="preserve">Founds Pace Setters</w:t>
            </w:r>
            <w:r>
              <w:rPr>
                <w:rFonts w:ascii="Palatino Linotype" w:cs="Palatino Linotype" w:eastAsia="Palatino Linotype" w:hAnsi="Palatino Linotype"/>
                <w:color w:val="2E3250"/>
                <w:sz w:val="16"/>
                <w:szCs w:val="16"/>
              </w:rPr>
              <w:t xml:space="preserve"> with a team of fifteen</w:t>
            </w:r>
          </w:p>
        </w:tc>
        <w:tc>
          <w:tcPr>
            <w:tcW w:type="dxa" w:w="2409"/>
            <w:tcBorders>
              <w:top w:val="single" w:color="2F6B36" w:sz="24"/>
              <w:left w:val="none" w:color="FFFFFF" w:sz="0"/>
              <w:bottom w:val="none" w:color="FFFFFF" w:sz="0"/>
              <w:right w:val="none" w:color="FFFFFF" w:sz="0"/>
            </w:tcBorders>
            <w:shd w:fill="F3F6F7" w:color="auto" w:val="clear"/>
            <w:tcMar>
              <w:top w:type="dxa" w:w="130"/>
              <w:left w:type="dxa" w:w="140"/>
              <w:bottom w:type="dxa" w:w="130"/>
              <w:right w:type="dxa" w:w="140"/>
            </w:tcMar>
            <w:vAlign w:val="top"/>
          </w:tcPr>
          <w:p>
            <w:pPr>
              <w:spacing w:after="40" w:before="0" w:line="260"/>
            </w:pPr>
            <w:r>
              <w:rPr>
                <w:rFonts w:ascii="Palatino Linotype" w:cs="Palatino Linotype" w:eastAsia="Palatino Linotype" w:hAnsi="Palatino Linotype"/>
                <w:color w:val="2F6B36"/>
                <w:sz w:val="30"/>
                <w:szCs w:val="30"/>
              </w:rPr>
              <w:t xml:space="preserve">2022</w:t>
            </w:r>
          </w:p>
          <w:p>
            <w:pPr>
              <w:spacing w:after="0" w:before="0" w:line="250"/>
            </w:pPr>
            <w:r>
              <w:rPr>
                <w:rFonts w:ascii="Palatino Linotype" w:cs="Palatino Linotype" w:eastAsia="Palatino Linotype" w:hAnsi="Palatino Linotype"/>
                <w:color w:val="2E3250"/>
                <w:sz w:val="16"/>
                <w:szCs w:val="16"/>
              </w:rPr>
              <w:t xml:space="preserve">Dedicates her </w:t>
            </w:r>
            <w:r>
              <w:rPr>
                <w:rFonts w:ascii="Palatino Linotype" w:cs="Palatino Linotype" w:eastAsia="Palatino Linotype" w:hAnsi="Palatino Linotype"/>
                <w:b/>
                <w:bCs/>
                <w:color w:val="13162C"/>
                <w:sz w:val="16"/>
                <w:szCs w:val="16"/>
              </w:rPr>
              <w:t xml:space="preserve">company’s profits to service</w:t>
            </w:r>
          </w:p>
        </w:tc>
        <w:tc>
          <w:tcPr>
            <w:tcW w:type="dxa" w:w="2411"/>
            <w:tcBorders>
              <w:top w:val="single" w:color="B23F20" w:sz="24"/>
              <w:left w:val="none" w:color="FFFFFF" w:sz="0"/>
              <w:bottom w:val="none" w:color="FFFFFF" w:sz="0"/>
              <w:right w:val="none" w:color="FFFFFF" w:sz="0"/>
            </w:tcBorders>
            <w:shd w:fill="F3F6F7" w:color="auto" w:val="clear"/>
            <w:tcMar>
              <w:top w:type="dxa" w:w="130"/>
              <w:left w:type="dxa" w:w="140"/>
              <w:bottom w:type="dxa" w:w="130"/>
              <w:right w:type="dxa" w:w="140"/>
            </w:tcMar>
            <w:vAlign w:val="top"/>
          </w:tcPr>
          <w:p>
            <w:pPr>
              <w:spacing w:after="40" w:before="0" w:line="260"/>
            </w:pPr>
            <w:r>
              <w:rPr>
                <w:rFonts w:ascii="Palatino Linotype" w:cs="Palatino Linotype" w:eastAsia="Palatino Linotype" w:hAnsi="Palatino Linotype"/>
                <w:color w:val="B23F20"/>
                <w:sz w:val="30"/>
                <w:szCs w:val="30"/>
              </w:rPr>
              <w:t xml:space="preserve">2023</w:t>
            </w:r>
          </w:p>
          <w:p>
            <w:pPr>
              <w:spacing w:after="0" w:before="0" w:line="250"/>
            </w:pPr>
            <w:r>
              <w:rPr>
                <w:rFonts w:ascii="Palatino Linotype" w:cs="Palatino Linotype" w:eastAsia="Palatino Linotype" w:hAnsi="Palatino Linotype"/>
                <w:b/>
                <w:bCs/>
                <w:color w:val="13162C"/>
                <w:sz w:val="16"/>
                <w:szCs w:val="16"/>
              </w:rPr>
              <w:t xml:space="preserve">CEO</w:t>
            </w:r>
            <w:r>
              <w:rPr>
                <w:rFonts w:ascii="Palatino Linotype" w:cs="Palatino Linotype" w:eastAsia="Palatino Linotype" w:hAnsi="Palatino Linotype"/>
                <w:color w:val="2E3250"/>
                <w:sz w:val="16"/>
                <w:szCs w:val="16"/>
              </w:rPr>
              <w:t xml:space="preserve">, Social Impact Initiatives, Govardhan Ecovillage</w:t>
            </w:r>
          </w:p>
        </w:tc>
      </w:tr>
    </w:tbl>
    <w:p>
      <w:pPr>
        <w:keepNext/>
        <w:spacing w:after="80" w:before="200" w:line="290"/>
      </w:pPr>
      <w:r>
        <w:rPr>
          <w:rFonts w:ascii="Palatino Linotype" w:cs="Palatino Linotype" w:eastAsia="Palatino Linotype" w:hAnsi="Palatino Linotype"/>
          <w:b/>
          <w:bCs/>
          <w:color w:val="B23F20"/>
          <w:spacing w:val="40"/>
          <w:sz w:val="15"/>
          <w:szCs w:val="15"/>
        </w:rPr>
        <w:t xml:space="preserve">RECOGNITION</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00"/>
        <w:gridCol w:w="300"/>
        <w:gridCol w:w="6538"/>
      </w:tblGrid>
      <w:tr>
        <w:trPr>
          <w:cantSplit/>
        </w:trPr>
        <w:tc>
          <w:tcPr>
            <w:tcW w:type="dxa" w:w="28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50" w:before="0"/>
            </w:pPr>
            <w:r>
              <w:drawing>
                <wp:inline distT="0" distB="0" distL="0" distR="0">
                  <wp:extent cx="1143000" cy="15240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143000" cy="1524000"/>
                          </a:xfrm>
                          <a:prstGeom prst="rect">
                            <a:avLst/>
                          </a:prstGeom>
                        </pic:spPr>
                      </pic:pic>
                    </a:graphicData>
                  </a:graphic>
                </wp:inline>
              </w:drawing>
            </w:r>
          </w:p>
          <w:p>
            <w:pPr>
              <w:spacing w:after="0" w:before="0" w:line="220"/>
            </w:pPr>
            <w:r>
              <w:rPr>
                <w:rFonts w:ascii="Palatino Linotype" w:cs="Palatino Linotype" w:eastAsia="Palatino Linotype" w:hAnsi="Palatino Linotype"/>
                <w:i/>
                <w:iCs/>
                <w:color w:val="5A5F7E"/>
                <w:sz w:val="14"/>
                <w:szCs w:val="14"/>
              </w:rPr>
              <w:t xml:space="preserve">From left: His Grace Gaurāṅga Dās, His Holiness Rādhānāth Swāmī Mahārāja and Harneet.</w:t>
            </w:r>
          </w:p>
        </w:tc>
        <w:tc>
          <w:tcPr>
            <w:tcW w:type="dxa" w:w="300"/>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0" w:before="0" w:line="290"/>
            </w:pPr>
          </w:p>
        </w:tc>
        <w:tc>
          <w:tcPr>
            <w:tcW w:type="dxa" w:w="6538"/>
            <w:tcBorders>
              <w:top w:val="none" w:color="FFFFFF" w:sz="0"/>
              <w:left w:val="none" w:color="FFFFFF" w:sz="0"/>
              <w:bottom w:val="none" w:color="FFFFFF" w:sz="0"/>
              <w:right w:val="none" w:color="FFFFFF" w:sz="0"/>
            </w:tcBorders>
            <w:tcMar>
              <w:top w:type="dxa" w:w="60"/>
              <w:left w:type="dxa" w:w="0"/>
              <w:bottom w:type="dxa" w:w="60"/>
              <w:right w:type="dxa" w:w="0"/>
            </w:tcMar>
            <w:vAlign w:val="center"/>
          </w:tcPr>
          <w:p>
            <w:pPr>
              <w:spacing w:after="100" w:before="0" w:line="280"/>
            </w:pPr>
            <w:r>
              <w:rPr>
                <w:rFonts w:ascii="Palatino Linotype" w:cs="Palatino Linotype" w:eastAsia="Palatino Linotype" w:hAnsi="Palatino Linotype"/>
                <w:color w:val="13162C"/>
                <w:sz w:val="26"/>
                <w:szCs w:val="26"/>
              </w:rPr>
              <w:t xml:space="preserve">Priya Kund, Barsana</w:t>
            </w:r>
          </w:p>
          <w:p>
            <w:pPr>
              <w:spacing w:after="0" w:before="0" w:line="300"/>
            </w:pPr>
            <w:r>
              <w:rPr>
                <w:rFonts w:ascii="Palatino Linotype" w:cs="Palatino Linotype" w:eastAsia="Palatino Linotype" w:hAnsi="Palatino Linotype"/>
                <w:color w:val="2E3250"/>
                <w:sz w:val="19"/>
                <w:szCs w:val="19"/>
              </w:rPr>
              <w:t xml:space="preserve">In November 2024 the </w:t>
            </w:r>
            <w:r>
              <w:rPr>
                <w:rFonts w:ascii="Palatino Linotype" w:cs="Palatino Linotype" w:eastAsia="Palatino Linotype" w:hAnsi="Palatino Linotype"/>
                <w:b/>
                <w:bCs/>
                <w:color w:val="13162C"/>
                <w:sz w:val="19"/>
                <w:szCs w:val="19"/>
              </w:rPr>
              <w:t xml:space="preserve">Uttar Pradesh Braj Tirtha Vikas Parishad</w:t>
            </w:r>
            <w:r>
              <w:rPr>
                <w:rFonts w:ascii="Palatino Linotype" w:cs="Palatino Linotype" w:eastAsia="Palatino Linotype" w:hAnsi="Palatino Linotype"/>
                <w:color w:val="2E3250"/>
                <w:sz w:val="19"/>
                <w:szCs w:val="19"/>
              </w:rPr>
              <w:t xml:space="preserve"> awarded a </w:t>
            </w:r>
            <w:r>
              <w:rPr>
                <w:rFonts w:ascii="Palatino Linotype" w:cs="Palatino Linotype" w:eastAsia="Palatino Linotype" w:hAnsi="Palatino Linotype"/>
                <w:b/>
                <w:bCs/>
                <w:color w:val="13162C"/>
                <w:sz w:val="19"/>
                <w:szCs w:val="19"/>
              </w:rPr>
              <w:t xml:space="preserve">Certificate of Completion and Appreciation</w:t>
            </w:r>
            <w:r>
              <w:rPr>
                <w:rFonts w:ascii="Palatino Linotype" w:cs="Palatino Linotype" w:eastAsia="Palatino Linotype" w:hAnsi="Palatino Linotype"/>
                <w:color w:val="2E3250"/>
                <w:sz w:val="19"/>
                <w:szCs w:val="19"/>
              </w:rPr>
              <w:t xml:space="preserve"> to Shri Chaitanya Health &amp; Care Trust, Govardhan Ecovillage, for the </w:t>
            </w:r>
            <w:r>
              <w:rPr>
                <w:rFonts w:ascii="Palatino Linotype" w:cs="Palatino Linotype" w:eastAsia="Palatino Linotype" w:hAnsi="Palatino Linotype"/>
                <w:b/>
                <w:bCs/>
                <w:color w:val="13162C"/>
                <w:sz w:val="19"/>
                <w:szCs w:val="19"/>
              </w:rPr>
              <w:t xml:space="preserve">eco-restoration of Priya Kund</w:t>
            </w:r>
            <w:r>
              <w:rPr>
                <w:rFonts w:ascii="Palatino Linotype" w:cs="Palatino Linotype" w:eastAsia="Palatino Linotype" w:hAnsi="Palatino Linotype"/>
                <w:color w:val="2E3250"/>
                <w:sz w:val="19"/>
                <w:szCs w:val="19"/>
              </w:rPr>
              <w:t xml:space="preserve"> (Pili Pokhar) in Barsana, the revival Harneet initiated and coordinated. The Parishad recognised the work as a lasting contribution to preserving the heritage of Braj.</w:t>
            </w:r>
          </w:p>
        </w:tc>
      </w:tr>
    </w:tbl>
    <w:p>
      <w:pPr>
        <w:spacing w:after="160" w:before="0" w:line="29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rPr>
          <w:cantSplit/>
        </w:trPr>
        <w:tc>
          <w:tcPr>
            <w:tcW w:type="dxa" w:w="9638"/>
            <w:tcBorders>
              <w:top w:val="none" w:color="FFFFFF" w:sz="0"/>
              <w:left w:val="single" w:color="B23F20" w:sz="24"/>
              <w:bottom w:val="none" w:color="FFFFFF" w:sz="0"/>
              <w:right w:val="none" w:color="FFFFFF" w:sz="0"/>
            </w:tcBorders>
            <w:shd w:fill="E7F3F7" w:color="auto" w:val="clear"/>
            <w:tcMar>
              <w:top w:type="dxa" w:w="170"/>
              <w:left w:type="dxa" w:w="360"/>
              <w:bottom w:type="dxa" w:w="170"/>
              <w:right w:type="dxa" w:w="360"/>
            </w:tcMar>
            <w:vAlign w:val="top"/>
          </w:tcPr>
          <w:p>
            <w:pPr>
              <w:spacing w:after="0" w:before="0" w:line="300"/>
            </w:pPr>
            <w:r>
              <w:rPr>
                <w:rFonts w:ascii="Palatino Linotype" w:cs="Palatino Linotype" w:eastAsia="Palatino Linotype" w:hAnsi="Palatino Linotype"/>
                <w:color w:val="B23F20"/>
                <w:sz w:val="80"/>
                <w:szCs w:val="80"/>
              </w:rPr>
              <w:t xml:space="preserve">“</w:t>
            </w:r>
          </w:p>
          <w:p>
            <w:pPr>
              <w:spacing w:after="0" w:before="0" w:line="320"/>
            </w:pPr>
            <w:r>
              <w:rPr>
                <w:rFonts w:ascii="Palatino Linotype" w:cs="Palatino Linotype" w:eastAsia="Palatino Linotype" w:hAnsi="Palatino Linotype"/>
                <w:color w:val="13162C"/>
                <w:sz w:val="22"/>
                <w:szCs w:val="22"/>
              </w:rPr>
              <w:t xml:space="preserve">Those who work with Harneet describe a decisive, hands-on leader who brings boardroom discipline and on-ground compassion to building institutions, in business and in service. Hers is the profile of a </w:t>
            </w:r>
            <w:r>
              <w:rPr>
                <w:rFonts w:ascii="Palatino Linotype" w:cs="Palatino Linotype" w:eastAsia="Palatino Linotype" w:hAnsi="Palatino Linotype"/>
                <w:i/>
                <w:iCs/>
                <w:color w:val="B23F20"/>
                <w:sz w:val="22"/>
                <w:szCs w:val="22"/>
              </w:rPr>
              <w:t xml:space="preserve">contemporary dhārmic leader</w:t>
            </w:r>
            <w:r>
              <w:rPr>
                <w:rFonts w:ascii="Palatino Linotype" w:cs="Palatino Linotype" w:eastAsia="Palatino Linotype" w:hAnsi="Palatino Linotype"/>
                <w:color w:val="13162C"/>
                <w:sz w:val="22"/>
                <w:szCs w:val="22"/>
              </w:rPr>
              <w:t xml:space="preserve">: a </w:t>
            </w:r>
            <w:r>
              <w:rPr>
                <w:rFonts w:ascii="Palatino Linotype" w:cs="Palatino Linotype" w:eastAsia="Palatino Linotype" w:hAnsi="Palatino Linotype"/>
                <w:i/>
                <w:iCs/>
                <w:color w:val="B23F20"/>
                <w:sz w:val="22"/>
                <w:szCs w:val="22"/>
              </w:rPr>
              <w:t xml:space="preserve">builder of enterprises and ecosystems</w:t>
            </w:r>
            <w:r>
              <w:rPr>
                <w:rFonts w:ascii="Palatino Linotype" w:cs="Palatino Linotype" w:eastAsia="Palatino Linotype" w:hAnsi="Palatino Linotype"/>
                <w:color w:val="13162C"/>
                <w:sz w:val="22"/>
                <w:szCs w:val="22"/>
              </w:rPr>
              <w:t xml:space="preserve">, a committed </w:t>
            </w:r>
            <w:r>
              <w:rPr>
                <w:rFonts w:ascii="Palatino Linotype" w:cs="Palatino Linotype" w:eastAsia="Palatino Linotype" w:hAnsi="Palatino Linotype"/>
                <w:i/>
                <w:iCs/>
                <w:color w:val="B23F20"/>
                <w:sz w:val="22"/>
                <w:szCs w:val="22"/>
              </w:rPr>
              <w:t xml:space="preserve">sevā-kārī</w:t>
            </w:r>
            <w:r>
              <w:rPr>
                <w:rFonts w:ascii="Palatino Linotype" w:cs="Palatino Linotype" w:eastAsia="Palatino Linotype" w:hAnsi="Palatino Linotype"/>
                <w:color w:val="13162C"/>
                <w:sz w:val="22"/>
                <w:szCs w:val="22"/>
              </w:rPr>
              <w:t xml:space="preserve"> and a sincere </w:t>
            </w:r>
            <w:r>
              <w:rPr>
                <w:rFonts w:ascii="Palatino Linotype" w:cs="Palatino Linotype" w:eastAsia="Palatino Linotype" w:hAnsi="Palatino Linotype"/>
                <w:i/>
                <w:iCs/>
                <w:color w:val="B23F20"/>
                <w:sz w:val="22"/>
                <w:szCs w:val="22"/>
              </w:rPr>
              <w:t xml:space="preserve">sādhikā</w:t>
            </w:r>
            <w:r>
              <w:rPr>
                <w:rFonts w:ascii="Palatino Linotype" w:cs="Palatino Linotype" w:eastAsia="Palatino Linotype" w:hAnsi="Palatino Linotype"/>
                <w:color w:val="13162C"/>
                <w:sz w:val="22"/>
                <w:szCs w:val="22"/>
              </w:rPr>
              <w:t xml:space="preserve">, showing that business excellence, a life guided by the </w:t>
            </w:r>
            <w:r>
              <w:rPr>
                <w:rFonts w:ascii="Palatino Linotype" w:cs="Palatino Linotype" w:eastAsia="Palatino Linotype" w:hAnsi="Palatino Linotype"/>
                <w:i/>
                <w:iCs/>
                <w:color w:val="B23F20"/>
                <w:sz w:val="22"/>
                <w:szCs w:val="22"/>
              </w:rPr>
              <w:t xml:space="preserve">Sanātana Dharma śāstras</w:t>
            </w:r>
            <w:r>
              <w:rPr>
                <w:rFonts w:ascii="Palatino Linotype" w:cs="Palatino Linotype" w:eastAsia="Palatino Linotype" w:hAnsi="Palatino Linotype"/>
                <w:color w:val="13162C"/>
                <w:sz w:val="22"/>
                <w:szCs w:val="22"/>
              </w:rPr>
              <w:t xml:space="preserve"> and service to society do not merely coexist, but strengthen one another.</w:t>
            </w:r>
          </w:p>
        </w:tc>
      </w:tr>
    </w:tbl>
    <w:p>
      <w:pPr>
        <w:spacing w:after="60" w:before="0" w:line="290"/>
      </w:pP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38"/>
      </w:tblGrid>
      <w:tr>
        <w:tc>
          <w:tcPr>
            <w:tcW w:type="dxa" w:w="9638"/>
            <w:tcBorders>
              <w:top w:val="none" w:color="FFFFFF" w:sz="0"/>
              <w:left w:val="none" w:color="FFFFFF" w:sz="0"/>
              <w:bottom w:val="none" w:color="FFFFFF" w:sz="0"/>
              <w:right w:val="none" w:color="FFFFFF" w:sz="0"/>
            </w:tcBorders>
            <w:shd w:fill="1F2340" w:color="auto" w:val="clear"/>
            <w:tcMar>
              <w:top w:type="dxa" w:w="170"/>
              <w:left w:type="dxa" w:w="160"/>
              <w:bottom w:type="dxa" w:w="170"/>
              <w:right w:type="dxa" w:w="160"/>
            </w:tcMar>
            <w:vAlign w:val="top"/>
          </w:tcPr>
          <w:p>
            <w:pPr>
              <w:spacing w:after="0" w:before="0" w:line="290"/>
              <w:jc w:val="center"/>
            </w:pPr>
            <w:r>
              <w:rPr>
                <w:rFonts w:ascii="Palatino Linotype" w:cs="Palatino Linotype" w:eastAsia="Palatino Linotype" w:hAnsi="Palatino Linotype"/>
                <w:b/>
                <w:bCs/>
                <w:color w:val="9DCFE0"/>
                <w:spacing w:val="30"/>
                <w:sz w:val="14"/>
                <w:szCs w:val="14"/>
              </w:rPr>
              <w:t xml:space="preserve">EMAIL   </w:t>
            </w:r>
            <w:r>
              <w:rPr>
                <w:rFonts w:ascii="Palatino Linotype" w:cs="Palatino Linotype" w:eastAsia="Palatino Linotype" w:hAnsi="Palatino Linotype"/>
                <w:color w:val="FFFFFF"/>
                <w:sz w:val="17"/>
                <w:szCs w:val="17"/>
              </w:rPr>
              <w:t xml:space="preserve">contact@s3impact.org.in</w:t>
            </w:r>
            <w:r>
              <w:rPr>
                <w:rFonts w:ascii="Palatino Linotype" w:cs="Palatino Linotype" w:eastAsia="Palatino Linotype" w:hAnsi="Palatino Linotype"/>
                <w:color w:val="2E3250"/>
                <w:sz w:val="20"/>
                <w:szCs w:val="20"/>
              </w:rPr>
              <w:t xml:space="preserve">          </w:t>
            </w:r>
            <w:r>
              <w:rPr>
                <w:rFonts w:ascii="Palatino Linotype" w:cs="Palatino Linotype" w:eastAsia="Palatino Linotype" w:hAnsi="Palatino Linotype"/>
                <w:b/>
                <w:bCs/>
                <w:color w:val="9DCFE0"/>
                <w:spacing w:val="30"/>
                <w:sz w:val="14"/>
                <w:szCs w:val="14"/>
              </w:rPr>
              <w:t xml:space="preserve">WEB   </w:t>
            </w:r>
            <w:r>
              <w:rPr>
                <w:rFonts w:ascii="Palatino Linotype" w:cs="Palatino Linotype" w:eastAsia="Palatino Linotype" w:hAnsi="Palatino Linotype"/>
                <w:color w:val="FFFFFF"/>
                <w:sz w:val="17"/>
                <w:szCs w:val="17"/>
              </w:rPr>
              <w:t xml:space="preserve">s3impact.org.in</w:t>
            </w:r>
          </w:p>
        </w:tc>
      </w:tr>
    </w:tbl>
    <w:sectPr>
      <w:pgSz w:w="11906" w:h="16838" w:orient="portrait"/>
      <w:pgMar w:top="1800" w:right="1134" w:bottom="70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color w:val="2E3250"/>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55d78b53512589715c189c647c31d8836969113.png"/><Relationship Id="rId8" Type="http://schemas.openxmlformats.org/officeDocument/2006/relationships/image" Target="media/5c84bf5a9ed0b86e8cf791448851b135375fbda3.jpg"/><Relationship Id="rId9" Type="http://schemas.openxmlformats.org/officeDocument/2006/relationships/image" Target="media/89bb0b14e7ee7309e6eb9ab37ce9ce39d0c202d2.jpg"/><Relationship Id="rId10" Type="http://schemas.openxmlformats.org/officeDocument/2006/relationships/image" Target="media/3f9396498e86522d5fdc5b4e7ac3653b8601906d.jp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Harneet Hariharan: Trustee Profile</dc:title>
  <dc:creator>S3 Impact Foundation</dc:creator>
  <cp:lastModifiedBy>Un-named</cp:lastModifiedBy>
  <cp:revision>1</cp:revision>
  <dcterms:created xsi:type="dcterms:W3CDTF">2026-10-28T11:47:28.455Z</dcterms:created>
  <dcterms:modified xsi:type="dcterms:W3CDTF">2026-10-28T11:47:28.455Z</dcterms:modified>
</cp:coreProperties>
</file>

<file path=docProps/custom.xml><?xml version="1.0" encoding="utf-8"?>
<Properties xmlns="http://schemas.openxmlformats.org/officeDocument/2006/custom-properties" xmlns:vt="http://schemas.openxmlformats.org/officeDocument/2006/docPropsVTypes"/>
</file>