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338"/>
        <w:gridCol w:w="300"/>
        <w:gridCol w:w="3000"/>
      </w:tblGrid>
      <w:tr>
        <w:tc>
          <w:tcPr>
            <w:tcW w:type="dxa" w:w="6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428750" cy="19050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Aayushi’s work: infographic panels on the 17 SDGs for Govardhan Ecovillage, and the Manthan Shivir book.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0" w:before="260" w:line="300"/>
      </w:pPr>
      <w:r>
        <w:rPr>
          <w:rFonts w:ascii="Palatino Linotype" w:cs="Palatino Linotype" w:eastAsia="Palatino Linotype" w:hAnsi="Palatino Linotype"/>
          <w:color w:val="2E3250"/>
          <w:sz w:val="20"/>
          <w:szCs w:val="20"/>
        </w:rPr>
        <w:t xml:space="preserve">Aayushi’s practice is rooted in </w:t>
      </w:r>
      <w:r>
        <w:rPr>
          <w:rFonts w:ascii="Palatino Linotype" w:cs="Palatino Linotype" w:eastAsia="Palatino Linotype" w:hAnsi="Palatino Linotype"/>
          <w:b/>
          <w:bCs/>
          <w:color w:val="13162C"/>
          <w:sz w:val="20"/>
          <w:szCs w:val="20"/>
        </w:rPr>
        <w:t xml:space="preserve">human-centred design</w:t>
      </w:r>
      <w:r>
        <w:rPr>
          <w:rFonts w:ascii="Palatino Linotype" w:cs="Palatino Linotype" w:eastAsia="Palatino Linotype" w:hAnsi="Palatino Linotype"/>
          <w:color w:val="2E3250"/>
          <w:sz w:val="20"/>
          <w:szCs w:val="20"/>
        </w:rPr>
        <w:t xml:space="preserve">: understanding people first, then shaping the experiences, stories and systems that serve them. She brings to S3 </w:t>
      </w:r>
      <w:r>
        <w:rPr>
          <w:rFonts w:ascii="Palatino Linotype" w:cs="Palatino Linotype" w:eastAsia="Palatino Linotype" w:hAnsi="Palatino Linotype"/>
          <w:b/>
          <w:bCs/>
          <w:color w:val="13162C"/>
          <w:sz w:val="20"/>
          <w:szCs w:val="20"/>
        </w:rPr>
        <w:t xml:space="preserve">a global eye and a deep respect for the communities it serves</w:t>
      </w:r>
      <w:r>
        <w:rPr>
          <w:rFonts w:ascii="Palatino Linotype" w:cs="Palatino Linotype" w:eastAsia="Palatino Linotype" w:hAnsi="Palatino Linotype"/>
          <w:color w:val="2E3250"/>
          <w:sz w:val="20"/>
          <w:szCs w:val="20"/>
        </w:rPr>
        <w:t xml:space="preserve">, helping the foundation share its work with clarity, dignity and care.</w:t>
      </w:r>
    </w:p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7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88e3da85443134ff53ae2bf9baafb6ef2d336d6a.jpg"/><Relationship Id="rId9" Type="http://schemas.openxmlformats.org/officeDocument/2006/relationships/image" Target="media/d421e02c69c30b1a6916c37e83b8d066080a804c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2026-10-28T11:55:11.315Z</dcterms:created>
  <dcterms:modified xsi:type="dcterms:W3CDTF">2026-10-28T11:55:11.315Z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