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49BF0D">
      <w:pPr>
        <w:spacing w:before="157" w:after="157" w:line="270" w:lineRule="auto"/>
        <w:jc w:val="left"/>
        <w:rPr>
          <w:rFonts w:hint="default" w:ascii="Arial" w:hAnsi="Arial" w:eastAsia="inter" w:cs="Arial"/>
          <w:b/>
          <w:color w:val="000000"/>
          <w:sz w:val="39"/>
        </w:rPr>
      </w:pPr>
      <w:r>
        <w:rPr>
          <w:rFonts w:hint="default" w:ascii="Arial" w:hAnsi="Arial" w:eastAsia="inter" w:cs="Arial"/>
          <w:b/>
          <w:color w:val="000000"/>
          <w:sz w:val="39"/>
          <w:lang w:val="en-IN"/>
        </w:rPr>
        <w:t>Marketing Campaign</w:t>
      </w:r>
      <w:r>
        <w:rPr>
          <w:rFonts w:hint="default" w:ascii="Arial" w:hAnsi="Arial" w:eastAsia="inter" w:cs="Arial"/>
          <w:b/>
          <w:color w:val="000000"/>
          <w:sz w:val="39"/>
        </w:rPr>
        <w:t xml:space="preserve"> Report: Business Problem, Insights</w:t>
      </w:r>
      <w:bookmarkStart w:id="7" w:name="_GoBack"/>
      <w:bookmarkEnd w:id="7"/>
    </w:p>
    <w:p w14:paraId="17CE1DE9">
      <w:pPr>
        <w:spacing w:before="157" w:after="157" w:line="270" w:lineRule="auto"/>
        <w:jc w:val="left"/>
        <w:rPr>
          <w:rFonts w:hint="default" w:ascii="Arial" w:hAnsi="Arial" w:eastAsia="inter" w:cs="Arial"/>
          <w:b/>
          <w:color w:val="000000"/>
          <w:sz w:val="10"/>
          <w:szCs w:val="10"/>
        </w:rPr>
      </w:pPr>
    </w:p>
    <w:p w14:paraId="2B85BEE9">
      <w:pPr>
        <w:spacing w:before="315" w:after="105" w:line="360" w:lineRule="auto"/>
        <w:ind w:left="-30"/>
        <w:jc w:val="left"/>
        <w:rPr>
          <w:rFonts w:hint="default" w:ascii="Arial" w:hAnsi="Arial" w:cs="Arial"/>
          <w:sz w:val="28"/>
          <w:szCs w:val="28"/>
        </w:rPr>
      </w:pPr>
      <w:r>
        <w:rPr>
          <w:rFonts w:hint="default" w:ascii="Arial" w:hAnsi="Arial" w:eastAsia="inter" w:cs="Arial"/>
          <w:b/>
          <w:color w:val="000000"/>
          <w:sz w:val="28"/>
          <w:szCs w:val="28"/>
        </w:rPr>
        <w:t>1. Executive Summary</w:t>
      </w:r>
    </w:p>
    <w:p w14:paraId="3D83DE8E">
      <w:pPr>
        <w:spacing w:after="210" w:line="360" w:lineRule="auto"/>
        <w:rPr>
          <w:rFonts w:hint="default" w:ascii="Arial" w:hAnsi="Arial" w:cs="Arial"/>
        </w:rPr>
      </w:pPr>
      <w:r>
        <w:rPr>
          <w:rFonts w:hint="default" w:ascii="Arial" w:hAnsi="Arial" w:eastAsia="inter" w:cs="Arial"/>
          <w:color w:val="000000"/>
        </w:rPr>
        <w:t>This report presents an in-depth analysis of a retail marketing campaign aimed at maximizing revenue and customer engagement. Utilizing cleaned transactional data and summary outputs from Alteryx—covering spend, recency, and response metrics across demographics and channels—we identify the highest-value segments, assess campaign effectiveness, and recommend targeted strategies for optimization.</w:t>
      </w:r>
    </w:p>
    <w:p w14:paraId="076793AF">
      <w:pPr>
        <w:spacing w:before="315" w:after="105" w:line="360" w:lineRule="auto"/>
        <w:ind w:left="-30"/>
        <w:jc w:val="left"/>
        <w:rPr>
          <w:rFonts w:hint="default" w:ascii="Arial" w:hAnsi="Arial" w:cs="Arial"/>
          <w:sz w:val="28"/>
          <w:szCs w:val="28"/>
        </w:rPr>
      </w:pPr>
      <w:r>
        <w:rPr>
          <w:rFonts w:hint="default" w:ascii="Arial" w:hAnsi="Arial" w:eastAsia="inter" w:cs="Arial"/>
          <w:b/>
          <w:color w:val="000000"/>
          <w:sz w:val="28"/>
          <w:szCs w:val="28"/>
        </w:rPr>
        <w:t>2. Business Objectives</w:t>
      </w:r>
    </w:p>
    <w:p w14:paraId="34818967">
      <w:pPr>
        <w:spacing w:after="210" w:line="360" w:lineRule="auto"/>
        <w:rPr>
          <w:rFonts w:hint="default" w:ascii="Arial" w:hAnsi="Arial" w:cs="Arial"/>
        </w:rPr>
      </w:pPr>
      <w:r>
        <w:rPr>
          <w:rFonts w:hint="default" w:ascii="Arial" w:hAnsi="Arial" w:eastAsia="inter" w:cs="Arial"/>
          <w:color w:val="000000"/>
        </w:rPr>
        <w:t>The core objectives of this analysis are to:</w:t>
      </w:r>
    </w:p>
    <w:p w14:paraId="5501609B">
      <w:pPr>
        <w:numPr>
          <w:ilvl w:val="0"/>
          <w:numId w:val="1"/>
        </w:numPr>
        <w:spacing w:before="105" w:after="105" w:line="360" w:lineRule="auto"/>
        <w:rPr>
          <w:rFonts w:hint="default" w:ascii="Arial" w:hAnsi="Arial" w:cs="Arial"/>
        </w:rPr>
      </w:pPr>
      <w:r>
        <w:rPr>
          <w:rFonts w:hint="default" w:ascii="Arial" w:hAnsi="Arial" w:eastAsia="inter" w:cs="Arial"/>
          <w:color w:val="000000"/>
          <w:sz w:val="21"/>
        </w:rPr>
        <w:t xml:space="preserve">Quantify </w:t>
      </w:r>
      <w:r>
        <w:rPr>
          <w:rFonts w:hint="default" w:ascii="Arial" w:hAnsi="Arial" w:eastAsia="inter" w:cs="Arial"/>
          <w:b/>
          <w:color w:val="000000"/>
          <w:sz w:val="21"/>
        </w:rPr>
        <w:t>customer value</w:t>
      </w:r>
      <w:r>
        <w:rPr>
          <w:rFonts w:hint="default" w:ascii="Arial" w:hAnsi="Arial" w:eastAsia="inter" w:cs="Arial"/>
          <w:color w:val="000000"/>
          <w:sz w:val="21"/>
        </w:rPr>
        <w:t xml:space="preserve"> across income, education, age, and geography to inform segment-specific offers.</w:t>
      </w:r>
    </w:p>
    <w:p w14:paraId="27B657A1">
      <w:pPr>
        <w:numPr>
          <w:ilvl w:val="0"/>
          <w:numId w:val="1"/>
        </w:numPr>
        <w:spacing w:before="105" w:after="105" w:line="360" w:lineRule="auto"/>
        <w:rPr>
          <w:rFonts w:hint="default" w:ascii="Arial" w:hAnsi="Arial" w:cs="Arial"/>
        </w:rPr>
      </w:pPr>
      <w:r>
        <w:rPr>
          <w:rFonts w:hint="default" w:ascii="Arial" w:hAnsi="Arial" w:eastAsia="inter" w:cs="Arial"/>
          <w:color w:val="000000"/>
          <w:sz w:val="21"/>
        </w:rPr>
        <w:t xml:space="preserve">Evaluate </w:t>
      </w:r>
      <w:r>
        <w:rPr>
          <w:rFonts w:hint="default" w:ascii="Arial" w:hAnsi="Arial" w:eastAsia="inter" w:cs="Arial"/>
          <w:b/>
          <w:color w:val="000000"/>
          <w:sz w:val="21"/>
        </w:rPr>
        <w:t>campaign performance</w:t>
      </w:r>
      <w:r>
        <w:rPr>
          <w:rFonts w:hint="default" w:ascii="Arial" w:hAnsi="Arial" w:eastAsia="inter" w:cs="Arial"/>
          <w:color w:val="000000"/>
          <w:sz w:val="21"/>
        </w:rPr>
        <w:t xml:space="preserve"> by channel and identify top-performing initiatives.</w:t>
      </w:r>
    </w:p>
    <w:p w14:paraId="4DF8C0BD">
      <w:pPr>
        <w:numPr>
          <w:ilvl w:val="0"/>
          <w:numId w:val="1"/>
        </w:numPr>
        <w:spacing w:before="105" w:after="105" w:line="360" w:lineRule="auto"/>
        <w:rPr>
          <w:rFonts w:hint="default" w:ascii="Arial" w:hAnsi="Arial" w:cs="Arial"/>
        </w:rPr>
      </w:pPr>
      <w:r>
        <w:rPr>
          <w:rFonts w:hint="default" w:ascii="Arial" w:hAnsi="Arial" w:eastAsia="inter" w:cs="Arial"/>
          <w:color w:val="000000"/>
          <w:sz w:val="21"/>
        </w:rPr>
        <w:t xml:space="preserve">Determine </w:t>
      </w:r>
      <w:r>
        <w:rPr>
          <w:rFonts w:hint="default" w:ascii="Arial" w:hAnsi="Arial" w:eastAsia="inter" w:cs="Arial"/>
          <w:b/>
          <w:color w:val="000000"/>
          <w:sz w:val="21"/>
        </w:rPr>
        <w:t>geographic opportunities</w:t>
      </w:r>
      <w:r>
        <w:rPr>
          <w:rFonts w:hint="default" w:ascii="Arial" w:hAnsi="Arial" w:eastAsia="inter" w:cs="Arial"/>
          <w:color w:val="000000"/>
          <w:sz w:val="21"/>
        </w:rPr>
        <w:t xml:space="preserve"> and under-served markets.</w:t>
      </w:r>
    </w:p>
    <w:p w14:paraId="0EB17BB2">
      <w:pPr>
        <w:numPr>
          <w:ilvl w:val="0"/>
          <w:numId w:val="1"/>
        </w:numPr>
        <w:spacing w:before="105" w:after="105" w:line="360" w:lineRule="auto"/>
        <w:rPr>
          <w:rFonts w:hint="default" w:ascii="Arial" w:hAnsi="Arial" w:cs="Arial"/>
        </w:rPr>
      </w:pPr>
      <w:r>
        <w:rPr>
          <w:rFonts w:hint="default" w:ascii="Arial" w:hAnsi="Arial" w:eastAsia="inter" w:cs="Arial"/>
          <w:color w:val="000000"/>
          <w:sz w:val="21"/>
        </w:rPr>
        <w:t xml:space="preserve">Provide </w:t>
      </w:r>
      <w:r>
        <w:rPr>
          <w:rFonts w:hint="default" w:ascii="Arial" w:hAnsi="Arial" w:eastAsia="inter" w:cs="Arial"/>
          <w:b/>
          <w:color w:val="000000"/>
          <w:sz w:val="21"/>
        </w:rPr>
        <w:t>actionable recommendations</w:t>
      </w:r>
      <w:r>
        <w:rPr>
          <w:rFonts w:hint="default" w:ascii="Arial" w:hAnsi="Arial" w:eastAsia="inter" w:cs="Arial"/>
          <w:color w:val="000000"/>
          <w:sz w:val="21"/>
        </w:rPr>
        <w:t xml:space="preserve"> for retention, re-engagement, and future campaign design.</w:t>
      </w:r>
    </w:p>
    <w:p w14:paraId="7964DE03">
      <w:pPr>
        <w:spacing w:before="315" w:after="105" w:line="360" w:lineRule="auto"/>
        <w:ind w:left="-30"/>
        <w:jc w:val="left"/>
        <w:rPr>
          <w:rFonts w:hint="default" w:ascii="Arial" w:hAnsi="Arial" w:cs="Arial"/>
          <w:sz w:val="28"/>
          <w:szCs w:val="28"/>
        </w:rPr>
      </w:pPr>
      <w:r>
        <w:rPr>
          <w:rFonts w:hint="default" w:ascii="Arial" w:hAnsi="Arial" w:eastAsia="inter" w:cs="Arial"/>
          <w:b/>
          <w:color w:val="000000"/>
          <w:sz w:val="28"/>
          <w:szCs w:val="28"/>
        </w:rPr>
        <w:t>3. Data and Methodology</w:t>
      </w:r>
    </w:p>
    <w:p w14:paraId="045EFB4E">
      <w:pPr>
        <w:spacing w:before="315" w:after="105" w:line="360" w:lineRule="auto"/>
        <w:ind w:left="-30"/>
        <w:jc w:val="left"/>
        <w:rPr>
          <w:rFonts w:hint="default" w:ascii="Arial" w:hAnsi="Arial" w:cs="Arial"/>
        </w:rPr>
      </w:pPr>
      <w:r>
        <w:rPr>
          <w:rFonts w:hint="default" w:ascii="Arial" w:hAnsi="Arial" w:eastAsia="inter" w:cs="Arial"/>
          <w:b/>
          <w:color w:val="000000"/>
          <w:sz w:val="24"/>
        </w:rPr>
        <w:t>3.1 Data Sources</w:t>
      </w:r>
    </w:p>
    <w:p w14:paraId="6FD7EAF9">
      <w:pPr>
        <w:numPr>
          <w:ilvl w:val="0"/>
          <w:numId w:val="2"/>
        </w:numPr>
        <w:spacing w:before="105" w:after="105" w:line="360" w:lineRule="auto"/>
        <w:rPr>
          <w:rFonts w:hint="default" w:ascii="Arial" w:hAnsi="Arial" w:cs="Arial"/>
        </w:rPr>
      </w:pPr>
      <w:r>
        <w:rPr>
          <w:rFonts w:hint="default" w:ascii="Arial" w:hAnsi="Arial" w:eastAsia="inter" w:cs="Arial"/>
          <w:b/>
          <w:color w:val="000000"/>
          <w:sz w:val="21"/>
        </w:rPr>
        <w:t>Raw Customer Transactions</w:t>
      </w:r>
      <w:r>
        <w:rPr>
          <w:rFonts w:hint="default" w:ascii="Arial" w:hAnsi="Arial" w:eastAsia="inter" w:cs="Arial"/>
          <w:color w:val="000000"/>
          <w:sz w:val="21"/>
        </w:rPr>
        <w:t xml:space="preserve">: 54,000+ records from </w:t>
      </w:r>
      <w:r>
        <w:rPr>
          <w:rStyle w:val="4"/>
          <w:rFonts w:hint="default" w:ascii="Arial" w:hAnsi="Arial" w:eastAsia="ibm plex mono" w:cs="Arial"/>
          <w:color w:val="000000"/>
          <w:sz w:val="18"/>
          <w:shd w:val="clear" w:color="auto" w:fill="F8F8FA"/>
        </w:rPr>
        <w:t>marketing_data</w:t>
      </w:r>
      <w:r>
        <w:rPr>
          <w:rFonts w:hint="default" w:ascii="Arial" w:hAnsi="Arial" w:eastAsia="inter" w:cs="Arial"/>
          <w:color w:val="000000"/>
          <w:sz w:val="21"/>
        </w:rPr>
        <w:t xml:space="preserve"> sheet, including purchase amounts (wine, fruits, meat, fish, sweets, gold products), campaign responses, and demographic attributes.</w:t>
      </w:r>
    </w:p>
    <w:p w14:paraId="2173B144">
      <w:pPr>
        <w:numPr>
          <w:ilvl w:val="0"/>
          <w:numId w:val="2"/>
        </w:numPr>
        <w:spacing w:before="105" w:after="105" w:line="360" w:lineRule="auto"/>
        <w:rPr>
          <w:rFonts w:hint="default" w:ascii="Arial" w:hAnsi="Arial" w:cs="Arial"/>
        </w:rPr>
      </w:pPr>
      <w:r>
        <w:rPr>
          <w:rFonts w:hint="default" w:ascii="Arial" w:hAnsi="Arial" w:eastAsia="inter" w:cs="Arial"/>
          <w:b/>
          <w:color w:val="000000"/>
          <w:sz w:val="21"/>
        </w:rPr>
        <w:t>Cleaned Dataset</w:t>
      </w:r>
      <w:r>
        <w:rPr>
          <w:rFonts w:hint="default" w:ascii="Arial" w:hAnsi="Arial" w:eastAsia="inter" w:cs="Arial"/>
          <w:color w:val="000000"/>
          <w:sz w:val="21"/>
        </w:rPr>
        <w:t>: 02_Cleaned_Data (2,237 unique customers), with standardized fields for Age, Income (capped at ₹200,000), Education_Level, Marital_Status, Country, and derived metrics including Total_Spend, Total_Dependents, and Recency.</w:t>
      </w:r>
    </w:p>
    <w:p w14:paraId="52A9195E">
      <w:pPr>
        <w:spacing w:before="315" w:after="105" w:line="360" w:lineRule="auto"/>
        <w:ind w:left="-30"/>
        <w:jc w:val="left"/>
        <w:rPr>
          <w:rFonts w:hint="default" w:ascii="Arial" w:hAnsi="Arial" w:cs="Arial"/>
        </w:rPr>
      </w:pPr>
      <w:r>
        <w:rPr>
          <w:rFonts w:hint="default" w:ascii="Arial" w:hAnsi="Arial" w:eastAsia="inter" w:cs="Arial"/>
          <w:b/>
          <w:color w:val="000000"/>
          <w:sz w:val="24"/>
        </w:rPr>
        <w:t>3.2 Analytical Workflow</w:t>
      </w:r>
    </w:p>
    <w:p w14:paraId="75FB71A5">
      <w:pPr>
        <w:numPr>
          <w:ilvl w:val="0"/>
          <w:numId w:val="3"/>
        </w:numPr>
        <w:spacing w:before="105" w:after="105" w:line="360" w:lineRule="auto"/>
        <w:rPr>
          <w:rFonts w:hint="default" w:ascii="Arial" w:hAnsi="Arial" w:cs="Arial"/>
        </w:rPr>
      </w:pPr>
      <w:r>
        <w:rPr>
          <w:rFonts w:hint="default" w:ascii="Arial" w:hAnsi="Arial" w:eastAsia="inter" w:cs="Arial"/>
          <w:b/>
          <w:color w:val="000000"/>
          <w:sz w:val="21"/>
        </w:rPr>
        <w:t>Alteryx EDA &amp; Aggregation</w:t>
      </w:r>
      <w:r>
        <w:rPr>
          <w:rFonts w:hint="default" w:ascii="Arial" w:hAnsi="Arial" w:eastAsia="inter" w:cs="Arial"/>
          <w:color w:val="000000"/>
          <w:sz w:val="21"/>
        </w:rPr>
        <w:t>:</w:t>
      </w:r>
    </w:p>
    <w:p w14:paraId="0072AAA8">
      <w:pPr>
        <w:numPr>
          <w:ilvl w:val="1"/>
          <w:numId w:val="3"/>
        </w:numPr>
        <w:spacing w:before="105" w:after="105" w:line="360" w:lineRule="auto"/>
        <w:rPr>
          <w:rFonts w:hint="default" w:ascii="Arial" w:hAnsi="Arial" w:cs="Arial"/>
        </w:rPr>
      </w:pPr>
      <w:r>
        <w:rPr>
          <w:rFonts w:hint="default" w:ascii="Arial" w:hAnsi="Arial" w:eastAsia="inter" w:cs="Arial"/>
          <w:color w:val="000000"/>
          <w:sz w:val="21"/>
        </w:rPr>
        <w:t xml:space="preserve">Calculated </w:t>
      </w:r>
      <w:r>
        <w:rPr>
          <w:rStyle w:val="4"/>
          <w:rFonts w:hint="default" w:ascii="Arial" w:hAnsi="Arial" w:eastAsia="ibm plex mono" w:cs="Arial"/>
          <w:color w:val="000000"/>
          <w:sz w:val="18"/>
          <w:shd w:val="clear" w:color="auto" w:fill="F8F8FA"/>
        </w:rPr>
        <w:t>Total_Spend</w:t>
      </w:r>
      <w:r>
        <w:rPr>
          <w:rFonts w:hint="default" w:ascii="Arial" w:hAnsi="Arial" w:eastAsia="inter" w:cs="Arial"/>
          <w:color w:val="000000"/>
          <w:sz w:val="21"/>
        </w:rPr>
        <w:t xml:space="preserve"> per customer and </w:t>
      </w:r>
      <w:r>
        <w:rPr>
          <w:rStyle w:val="4"/>
          <w:rFonts w:hint="default" w:ascii="Arial" w:hAnsi="Arial" w:eastAsia="ibm plex mono" w:cs="Arial"/>
          <w:color w:val="000000"/>
          <w:sz w:val="18"/>
          <w:shd w:val="clear" w:color="auto" w:fill="F8F8FA"/>
        </w:rPr>
        <w:t>Days_Since_Last_Customer</w:t>
      </w:r>
      <w:r>
        <w:rPr>
          <w:rFonts w:hint="default" w:ascii="Arial" w:hAnsi="Arial" w:eastAsia="inter" w:cs="Arial"/>
          <w:color w:val="000000"/>
          <w:sz w:val="21"/>
        </w:rPr>
        <w:t>.</w:t>
      </w:r>
    </w:p>
    <w:p w14:paraId="1A111C19">
      <w:pPr>
        <w:numPr>
          <w:ilvl w:val="1"/>
          <w:numId w:val="3"/>
        </w:numPr>
        <w:spacing w:before="105" w:after="105" w:line="360" w:lineRule="auto"/>
        <w:rPr>
          <w:rFonts w:hint="default" w:ascii="Arial" w:hAnsi="Arial" w:cs="Arial"/>
        </w:rPr>
      </w:pPr>
      <w:r>
        <w:rPr>
          <w:rFonts w:hint="default" w:ascii="Arial" w:hAnsi="Arial" w:eastAsia="inter" w:cs="Arial"/>
          <w:color w:val="000000"/>
          <w:sz w:val="21"/>
        </w:rPr>
        <w:t>Summarized spend by Education_Level (Edu_Spend.csv), Income_Segment (Recency_Spend.csv), and Country (Geography_Spend.csv).</w:t>
      </w:r>
      <w:bookmarkStart w:id="0" w:name="fnref1"/>
      <w:bookmarkEnd w:id="0"/>
      <w:bookmarkStart w:id="1" w:name="fnref2"/>
      <w:bookmarkEnd w:id="1"/>
      <w:bookmarkStart w:id="2" w:name="fnref3"/>
      <w:bookmarkEnd w:id="2"/>
    </w:p>
    <w:p w14:paraId="061EC15F">
      <w:pPr>
        <w:numPr>
          <w:ilvl w:val="1"/>
          <w:numId w:val="3"/>
        </w:numPr>
        <w:spacing w:before="105" w:after="105" w:line="360" w:lineRule="auto"/>
        <w:rPr>
          <w:rFonts w:hint="default" w:ascii="Arial" w:hAnsi="Arial" w:cs="Arial"/>
        </w:rPr>
      </w:pPr>
      <w:r>
        <w:rPr>
          <w:rFonts w:hint="default" w:ascii="Arial" w:hAnsi="Arial" w:eastAsia="inter" w:cs="Arial"/>
          <w:color w:val="000000"/>
          <w:sz w:val="21"/>
        </w:rPr>
        <w:t>Computed campaign responses and invitations per campaign (Conversion.csv), deriving individual conversion rates.</w:t>
      </w:r>
      <w:bookmarkStart w:id="3" w:name="fnref4"/>
      <w:bookmarkEnd w:id="3"/>
      <w:r>
        <w:rPr>
          <w:rFonts w:hint="default" w:ascii="Arial" w:hAnsi="Arial" w:cs="Arial"/>
        </w:rPr>
        <w:fldChar w:fldCharType="begin"/>
      </w:r>
      <w:r>
        <w:rPr>
          <w:rFonts w:hint="default" w:ascii="Arial" w:hAnsi="Arial" w:cs="Arial"/>
        </w:rPr>
        <w:instrText xml:space="preserve"> HYPERLINK \l "fn4" \h </w:instrText>
      </w:r>
      <w:r>
        <w:rPr>
          <w:rFonts w:hint="default" w:ascii="Arial" w:hAnsi="Arial" w:cs="Arial"/>
        </w:rPr>
        <w:fldChar w:fldCharType="separate"/>
      </w:r>
      <w:r>
        <w:rPr>
          <w:rFonts w:hint="default" w:ascii="Arial" w:hAnsi="Arial" w:eastAsia="inter" w:cs="Arial"/>
          <w:color w:val="000000"/>
          <w:sz w:val="21"/>
          <w:u w:val="single"/>
          <w:vertAlign w:val="superscript"/>
        </w:rPr>
        <w:t>[4]</w:t>
      </w:r>
      <w:r>
        <w:rPr>
          <w:rFonts w:hint="default" w:ascii="Arial" w:hAnsi="Arial" w:eastAsia="inter" w:cs="Arial"/>
          <w:color w:val="000000"/>
          <w:sz w:val="21"/>
          <w:u w:val="single"/>
          <w:vertAlign w:val="superscript"/>
        </w:rPr>
        <w:fldChar w:fldCharType="end"/>
      </w:r>
    </w:p>
    <w:p w14:paraId="332F9F2D">
      <w:pPr>
        <w:numPr>
          <w:ilvl w:val="0"/>
          <w:numId w:val="3"/>
        </w:numPr>
        <w:spacing w:before="105" w:after="105" w:line="360" w:lineRule="auto"/>
        <w:rPr>
          <w:rFonts w:hint="default" w:ascii="Arial" w:hAnsi="Arial" w:cs="Arial"/>
        </w:rPr>
      </w:pPr>
      <w:r>
        <w:rPr>
          <w:rFonts w:hint="default" w:ascii="Arial" w:hAnsi="Arial" w:eastAsia="inter" w:cs="Arial"/>
          <w:b/>
          <w:color w:val="000000"/>
          <w:sz w:val="21"/>
        </w:rPr>
        <w:t>Power BI Visualization</w:t>
      </w:r>
      <w:r>
        <w:rPr>
          <w:rFonts w:hint="default" w:ascii="Arial" w:hAnsi="Arial" w:eastAsia="inter" w:cs="Arial"/>
          <w:color w:val="000000"/>
          <w:sz w:val="21"/>
        </w:rPr>
        <w:t>:</w:t>
      </w:r>
    </w:p>
    <w:p w14:paraId="6CE14C3B">
      <w:pPr>
        <w:numPr>
          <w:ilvl w:val="1"/>
          <w:numId w:val="3"/>
        </w:numPr>
        <w:spacing w:before="105" w:after="105" w:line="360" w:lineRule="auto"/>
        <w:rPr>
          <w:rFonts w:hint="default" w:ascii="Arial" w:hAnsi="Arial" w:cs="Arial"/>
        </w:rPr>
      </w:pPr>
      <w:r>
        <w:rPr>
          <w:rFonts w:hint="default" w:ascii="Arial" w:hAnsi="Arial" w:eastAsia="inter" w:cs="Arial"/>
          <w:color w:val="000000"/>
          <w:sz w:val="21"/>
        </w:rPr>
        <w:t>Deployed KPI cards and interactive visuals to illustrate key metrics and support drill-through analysis.</w:t>
      </w:r>
    </w:p>
    <w:p w14:paraId="4AEB0332">
      <w:pPr>
        <w:numPr>
          <w:ilvl w:val="1"/>
          <w:numId w:val="3"/>
        </w:numPr>
        <w:spacing w:before="105" w:after="105" w:line="360" w:lineRule="auto"/>
        <w:rPr>
          <w:rFonts w:hint="default" w:ascii="Arial" w:hAnsi="Arial" w:cs="Arial"/>
        </w:rPr>
      </w:pPr>
      <w:r>
        <w:rPr>
          <w:rFonts w:hint="default" w:ascii="Arial" w:hAnsi="Arial" w:eastAsia="inter" w:cs="Arial"/>
          <w:color w:val="000000"/>
          <w:sz w:val="21"/>
        </w:rPr>
        <w:t>Employed slicers for dynamic filtering by segment, channel, and geography.</w:t>
      </w:r>
    </w:p>
    <w:p w14:paraId="7C8C0D1A">
      <w:pPr>
        <w:numPr>
          <w:numId w:val="0"/>
        </w:numPr>
        <w:spacing w:before="105" w:after="105" w:line="360" w:lineRule="auto"/>
        <w:ind w:left="720" w:leftChars="0"/>
        <w:rPr>
          <w:rFonts w:hint="default" w:ascii="Arial" w:hAnsi="Arial" w:cs="Arial"/>
        </w:rPr>
      </w:pPr>
    </w:p>
    <w:p w14:paraId="68329021">
      <w:pPr>
        <w:spacing w:before="315" w:after="105" w:line="360" w:lineRule="auto"/>
        <w:ind w:left="-30"/>
        <w:jc w:val="left"/>
        <w:rPr>
          <w:rFonts w:hint="default" w:ascii="Arial" w:hAnsi="Arial" w:cs="Arial"/>
          <w:sz w:val="28"/>
          <w:szCs w:val="28"/>
        </w:rPr>
      </w:pPr>
      <w:r>
        <w:rPr>
          <w:rFonts w:hint="default" w:ascii="Arial" w:hAnsi="Arial" w:eastAsia="inter" w:cs="Arial"/>
          <w:b/>
          <w:color w:val="000000"/>
          <w:sz w:val="28"/>
          <w:szCs w:val="28"/>
        </w:rPr>
        <w:t>4. Key Findings</w:t>
      </w:r>
    </w:p>
    <w:p w14:paraId="7659993D">
      <w:pPr>
        <w:spacing w:before="315" w:after="105" w:line="360" w:lineRule="auto"/>
        <w:ind w:left="-30"/>
        <w:jc w:val="left"/>
        <w:rPr>
          <w:rFonts w:hint="default" w:ascii="Arial" w:hAnsi="Arial" w:cs="Arial"/>
        </w:rPr>
      </w:pPr>
      <w:r>
        <w:rPr>
          <w:rFonts w:hint="default" w:ascii="Arial" w:hAnsi="Arial" w:eastAsia="inter" w:cs="Arial"/>
          <w:b/>
          <w:color w:val="000000"/>
          <w:sz w:val="24"/>
        </w:rPr>
        <w:t>4.1 Customer Value by Income Segment</w:t>
      </w:r>
    </w:p>
    <w:tbl>
      <w:tblPr>
        <w:tblStyle w:val="5"/>
        <w:tblW w:w="0" w:type="auto"/>
        <w:jc w:val="center"/>
        <w:tblCellSpacing w:w="0"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autofit"/>
        <w:tblCellMar>
          <w:top w:w="80" w:type="dxa"/>
          <w:left w:w="160" w:type="dxa"/>
          <w:bottom w:w="80" w:type="dxa"/>
          <w:right w:w="160" w:type="dxa"/>
        </w:tblCellMar>
      </w:tblPr>
      <w:tblGrid>
        <w:gridCol w:w="1423"/>
        <w:gridCol w:w="962"/>
        <w:gridCol w:w="1675"/>
        <w:gridCol w:w="1712"/>
        <w:gridCol w:w="1883"/>
      </w:tblGrid>
      <w:tr w14:paraId="0C1B8EA0">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W w:w="1423" w:type="dxa"/>
            <w:tcBorders>
              <w:top w:val="single" w:color="000000" w:sz="0" w:space="0"/>
              <w:bottom w:val="single" w:color="000000" w:sz="0" w:space="0"/>
              <w:right w:val="single" w:color="000000" w:sz="0" w:space="0"/>
            </w:tcBorders>
          </w:tcPr>
          <w:p w14:paraId="121320BD">
            <w:pPr>
              <w:spacing w:after="0" w:line="360" w:lineRule="auto"/>
              <w:rPr>
                <w:rFonts w:hint="default" w:ascii="Arial" w:hAnsi="Arial" w:cs="Arial"/>
              </w:rPr>
            </w:pPr>
            <w:r>
              <w:rPr>
                <w:rFonts w:hint="default" w:ascii="Arial" w:hAnsi="Arial" w:eastAsia="inter" w:cs="Arial"/>
                <w:color w:val="000000"/>
                <w:sz w:val="17"/>
              </w:rPr>
              <w:t>Income Segment</w:t>
            </w:r>
          </w:p>
        </w:tc>
        <w:tc>
          <w:tcPr>
            <w:tcW w:w="962" w:type="dxa"/>
            <w:tcBorders>
              <w:top w:val="single" w:color="000000" w:sz="0" w:space="0"/>
              <w:bottom w:val="single" w:color="000000" w:sz="0" w:space="0"/>
              <w:right w:val="single" w:color="000000" w:sz="0" w:space="0"/>
            </w:tcBorders>
          </w:tcPr>
          <w:p w14:paraId="5BDCEDBA">
            <w:pPr>
              <w:spacing w:after="0" w:line="360" w:lineRule="auto"/>
              <w:rPr>
                <w:rFonts w:hint="default" w:ascii="Arial" w:hAnsi="Arial" w:cs="Arial"/>
              </w:rPr>
            </w:pPr>
            <w:r>
              <w:rPr>
                <w:rFonts w:hint="default" w:ascii="Arial" w:hAnsi="Arial" w:eastAsia="inter" w:cs="Arial"/>
                <w:color w:val="000000"/>
                <w:sz w:val="17"/>
              </w:rPr>
              <w:t>Count</w:t>
            </w:r>
          </w:p>
        </w:tc>
        <w:tc>
          <w:tcPr>
            <w:tcW w:w="1675" w:type="dxa"/>
            <w:tcBorders>
              <w:top w:val="single" w:color="000000" w:sz="0" w:space="0"/>
              <w:bottom w:val="single" w:color="000000" w:sz="0" w:space="0"/>
              <w:right w:val="single" w:color="000000" w:sz="0" w:space="0"/>
            </w:tcBorders>
          </w:tcPr>
          <w:p w14:paraId="6812EAB3">
            <w:pPr>
              <w:spacing w:after="0" w:line="360" w:lineRule="auto"/>
              <w:rPr>
                <w:rFonts w:hint="default" w:ascii="Arial" w:hAnsi="Arial" w:cs="Arial"/>
              </w:rPr>
            </w:pPr>
            <w:r>
              <w:rPr>
                <w:rFonts w:hint="default" w:ascii="Arial" w:hAnsi="Arial" w:eastAsia="inter" w:cs="Arial"/>
                <w:color w:val="000000"/>
                <w:sz w:val="17"/>
              </w:rPr>
              <w:t>Avg Spend (₹)</w:t>
            </w:r>
          </w:p>
        </w:tc>
        <w:tc>
          <w:tcPr>
            <w:tcW w:w="1712" w:type="dxa"/>
            <w:tcBorders>
              <w:top w:val="single" w:color="000000" w:sz="0" w:space="0"/>
              <w:bottom w:val="single" w:color="000000" w:sz="0" w:space="0"/>
              <w:right w:val="single" w:color="000000" w:sz="0" w:space="0"/>
            </w:tcBorders>
          </w:tcPr>
          <w:p w14:paraId="42D04A18">
            <w:pPr>
              <w:spacing w:after="0" w:line="360" w:lineRule="auto"/>
              <w:rPr>
                <w:rFonts w:hint="default" w:ascii="Arial" w:hAnsi="Arial" w:cs="Arial"/>
              </w:rPr>
            </w:pPr>
            <w:r>
              <w:rPr>
                <w:rFonts w:hint="default" w:ascii="Arial" w:hAnsi="Arial" w:eastAsia="inter" w:cs="Arial"/>
                <w:color w:val="000000"/>
                <w:sz w:val="17"/>
              </w:rPr>
              <w:t>Total Spend (₹)</w:t>
            </w:r>
          </w:p>
        </w:tc>
        <w:tc>
          <w:tcPr>
            <w:tcW w:w="1883" w:type="dxa"/>
            <w:tcBorders>
              <w:top w:val="single" w:color="000000" w:sz="0" w:space="0"/>
              <w:bottom w:val="single" w:color="000000" w:sz="0" w:space="0"/>
            </w:tcBorders>
          </w:tcPr>
          <w:p w14:paraId="7CA7FD92">
            <w:pPr>
              <w:spacing w:after="0" w:line="360" w:lineRule="auto"/>
              <w:rPr>
                <w:rFonts w:hint="default" w:ascii="Arial" w:hAnsi="Arial" w:cs="Arial"/>
              </w:rPr>
            </w:pPr>
            <w:r>
              <w:rPr>
                <w:rFonts w:hint="default" w:ascii="Arial" w:hAnsi="Arial" w:eastAsia="inter" w:cs="Arial"/>
                <w:color w:val="000000"/>
                <w:sz w:val="17"/>
              </w:rPr>
              <w:t>Avg Recency (days)</w:t>
            </w:r>
          </w:p>
        </w:tc>
      </w:tr>
      <w:tr w14:paraId="0DD27F3F">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W w:w="1423" w:type="dxa"/>
            <w:tcBorders>
              <w:top w:val="single" w:color="000000" w:sz="0" w:space="0"/>
              <w:bottom w:val="single" w:color="000000" w:sz="0" w:space="0"/>
              <w:right w:val="single" w:color="000000" w:sz="0" w:space="0"/>
            </w:tcBorders>
          </w:tcPr>
          <w:p w14:paraId="14BC3BF6">
            <w:pPr>
              <w:spacing w:after="0" w:line="360" w:lineRule="auto"/>
              <w:rPr>
                <w:rFonts w:hint="default" w:ascii="Arial" w:hAnsi="Arial" w:cs="Arial"/>
              </w:rPr>
            </w:pPr>
            <w:r>
              <w:rPr>
                <w:rFonts w:hint="default" w:ascii="Arial" w:hAnsi="Arial" w:eastAsia="inter" w:cs="Arial"/>
                <w:color w:val="000000"/>
                <w:sz w:val="17"/>
              </w:rPr>
              <w:t>High Income</w:t>
            </w:r>
          </w:p>
        </w:tc>
        <w:tc>
          <w:tcPr>
            <w:tcW w:w="962" w:type="dxa"/>
            <w:tcBorders>
              <w:top w:val="single" w:color="000000" w:sz="0" w:space="0"/>
              <w:bottom w:val="single" w:color="000000" w:sz="0" w:space="0"/>
              <w:right w:val="single" w:color="000000" w:sz="0" w:space="0"/>
            </w:tcBorders>
          </w:tcPr>
          <w:p w14:paraId="53894491">
            <w:pPr>
              <w:spacing w:after="0" w:line="360" w:lineRule="auto"/>
              <w:rPr>
                <w:rFonts w:hint="default" w:ascii="Arial" w:hAnsi="Arial" w:cs="Arial"/>
              </w:rPr>
            </w:pPr>
            <w:r>
              <w:rPr>
                <w:rFonts w:hint="default" w:ascii="Arial" w:hAnsi="Arial" w:eastAsia="inter" w:cs="Arial"/>
                <w:color w:val="000000"/>
                <w:sz w:val="17"/>
              </w:rPr>
              <w:t>826</w:t>
            </w:r>
          </w:p>
        </w:tc>
        <w:tc>
          <w:tcPr>
            <w:tcW w:w="1675" w:type="dxa"/>
            <w:tcBorders>
              <w:top w:val="single" w:color="000000" w:sz="0" w:space="0"/>
              <w:bottom w:val="single" w:color="000000" w:sz="0" w:space="0"/>
              <w:right w:val="single" w:color="000000" w:sz="0" w:space="0"/>
            </w:tcBorders>
          </w:tcPr>
          <w:p w14:paraId="3019A029">
            <w:pPr>
              <w:spacing w:after="0" w:line="360" w:lineRule="auto"/>
              <w:rPr>
                <w:rFonts w:hint="default" w:ascii="Arial" w:hAnsi="Arial" w:cs="Arial"/>
              </w:rPr>
            </w:pPr>
            <w:r>
              <w:rPr>
                <w:rFonts w:hint="default" w:ascii="Arial" w:hAnsi="Arial" w:eastAsia="inter" w:cs="Arial"/>
                <w:color w:val="000000"/>
                <w:sz w:val="17"/>
              </w:rPr>
              <w:t>1,216.95</w:t>
            </w:r>
          </w:p>
        </w:tc>
        <w:tc>
          <w:tcPr>
            <w:tcW w:w="1712" w:type="dxa"/>
            <w:tcBorders>
              <w:top w:val="single" w:color="000000" w:sz="0" w:space="0"/>
              <w:bottom w:val="single" w:color="000000" w:sz="0" w:space="0"/>
              <w:right w:val="single" w:color="000000" w:sz="0" w:space="0"/>
            </w:tcBorders>
          </w:tcPr>
          <w:p w14:paraId="31BE936D">
            <w:pPr>
              <w:spacing w:after="0" w:line="360" w:lineRule="auto"/>
              <w:rPr>
                <w:rFonts w:hint="default" w:ascii="Arial" w:hAnsi="Arial" w:cs="Arial"/>
              </w:rPr>
            </w:pPr>
            <w:r>
              <w:rPr>
                <w:rFonts w:hint="default" w:ascii="Arial" w:hAnsi="Arial" w:eastAsia="inter" w:cs="Arial"/>
                <w:color w:val="000000"/>
                <w:sz w:val="17"/>
              </w:rPr>
              <w:t>1,005,235</w:t>
            </w:r>
          </w:p>
        </w:tc>
        <w:tc>
          <w:tcPr>
            <w:tcW w:w="1883" w:type="dxa"/>
            <w:tcBorders>
              <w:top w:val="single" w:color="000000" w:sz="0" w:space="0"/>
              <w:bottom w:val="single" w:color="000000" w:sz="0" w:space="0"/>
            </w:tcBorders>
          </w:tcPr>
          <w:p w14:paraId="3AADC3D6">
            <w:pPr>
              <w:spacing w:after="0" w:line="360" w:lineRule="auto"/>
              <w:rPr>
                <w:rFonts w:hint="default" w:ascii="Arial" w:hAnsi="Arial" w:cs="Arial"/>
              </w:rPr>
            </w:pPr>
            <w:r>
              <w:rPr>
                <w:rFonts w:hint="default" w:ascii="Arial" w:hAnsi="Arial" w:eastAsia="inter" w:cs="Arial"/>
                <w:color w:val="000000"/>
                <w:sz w:val="17"/>
              </w:rPr>
              <w:t>4,440.15</w:t>
            </w:r>
          </w:p>
        </w:tc>
      </w:tr>
      <w:tr w14:paraId="0C0A0FBF">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W w:w="1423" w:type="dxa"/>
            <w:tcBorders>
              <w:top w:val="single" w:color="000000" w:sz="0" w:space="0"/>
              <w:bottom w:val="single" w:color="000000" w:sz="0" w:space="0"/>
              <w:right w:val="single" w:color="000000" w:sz="0" w:space="0"/>
            </w:tcBorders>
          </w:tcPr>
          <w:p w14:paraId="515435EF">
            <w:pPr>
              <w:spacing w:after="0" w:line="360" w:lineRule="auto"/>
              <w:rPr>
                <w:rFonts w:hint="default" w:ascii="Arial" w:hAnsi="Arial" w:cs="Arial"/>
              </w:rPr>
            </w:pPr>
            <w:r>
              <w:rPr>
                <w:rFonts w:hint="default" w:ascii="Arial" w:hAnsi="Arial" w:eastAsia="inter" w:cs="Arial"/>
                <w:color w:val="000000"/>
                <w:sz w:val="17"/>
              </w:rPr>
              <w:t>Premium Income</w:t>
            </w:r>
          </w:p>
        </w:tc>
        <w:tc>
          <w:tcPr>
            <w:tcW w:w="962" w:type="dxa"/>
            <w:tcBorders>
              <w:top w:val="single" w:color="000000" w:sz="0" w:space="0"/>
              <w:bottom w:val="single" w:color="000000" w:sz="0" w:space="0"/>
              <w:right w:val="single" w:color="000000" w:sz="0" w:space="0"/>
            </w:tcBorders>
          </w:tcPr>
          <w:p w14:paraId="23774E82">
            <w:pPr>
              <w:spacing w:after="0" w:line="360" w:lineRule="auto"/>
              <w:rPr>
                <w:rFonts w:hint="default" w:ascii="Arial" w:hAnsi="Arial" w:cs="Arial"/>
              </w:rPr>
            </w:pPr>
            <w:r>
              <w:rPr>
                <w:rFonts w:hint="default" w:ascii="Arial" w:hAnsi="Arial" w:eastAsia="inter" w:cs="Arial"/>
                <w:color w:val="000000"/>
                <w:sz w:val="17"/>
              </w:rPr>
              <w:t>37</w:t>
            </w:r>
          </w:p>
        </w:tc>
        <w:tc>
          <w:tcPr>
            <w:tcW w:w="1675" w:type="dxa"/>
            <w:tcBorders>
              <w:top w:val="single" w:color="000000" w:sz="0" w:space="0"/>
              <w:bottom w:val="single" w:color="000000" w:sz="0" w:space="0"/>
              <w:right w:val="single" w:color="000000" w:sz="0" w:space="0"/>
            </w:tcBorders>
          </w:tcPr>
          <w:p w14:paraId="06E65A5A">
            <w:pPr>
              <w:spacing w:after="0" w:line="360" w:lineRule="auto"/>
              <w:rPr>
                <w:rFonts w:hint="default" w:ascii="Arial" w:hAnsi="Arial" w:cs="Arial"/>
              </w:rPr>
            </w:pPr>
            <w:r>
              <w:rPr>
                <w:rFonts w:hint="default" w:ascii="Arial" w:hAnsi="Arial" w:eastAsia="inter" w:cs="Arial"/>
                <w:color w:val="000000"/>
                <w:sz w:val="17"/>
              </w:rPr>
              <w:t>607.95</w:t>
            </w:r>
          </w:p>
        </w:tc>
        <w:tc>
          <w:tcPr>
            <w:tcW w:w="1712" w:type="dxa"/>
            <w:tcBorders>
              <w:top w:val="single" w:color="000000" w:sz="0" w:space="0"/>
              <w:bottom w:val="single" w:color="000000" w:sz="0" w:space="0"/>
              <w:right w:val="single" w:color="000000" w:sz="0" w:space="0"/>
            </w:tcBorders>
          </w:tcPr>
          <w:p w14:paraId="74572CE7">
            <w:pPr>
              <w:spacing w:after="0" w:line="360" w:lineRule="auto"/>
              <w:rPr>
                <w:rFonts w:hint="default" w:ascii="Arial" w:hAnsi="Arial" w:cs="Arial"/>
              </w:rPr>
            </w:pPr>
            <w:r>
              <w:rPr>
                <w:rFonts w:hint="default" w:ascii="Arial" w:hAnsi="Arial" w:eastAsia="inter" w:cs="Arial"/>
                <w:color w:val="000000"/>
                <w:sz w:val="17"/>
              </w:rPr>
              <w:t>22,493</w:t>
            </w:r>
          </w:p>
        </w:tc>
        <w:tc>
          <w:tcPr>
            <w:tcW w:w="1883" w:type="dxa"/>
            <w:tcBorders>
              <w:top w:val="single" w:color="000000" w:sz="0" w:space="0"/>
              <w:bottom w:val="single" w:color="000000" w:sz="0" w:space="0"/>
            </w:tcBorders>
          </w:tcPr>
          <w:p w14:paraId="06C3FA56">
            <w:pPr>
              <w:spacing w:after="0" w:line="360" w:lineRule="auto"/>
              <w:rPr>
                <w:rFonts w:hint="default" w:ascii="Arial" w:hAnsi="Arial" w:cs="Arial"/>
              </w:rPr>
            </w:pPr>
            <w:r>
              <w:rPr>
                <w:rFonts w:hint="default" w:ascii="Arial" w:hAnsi="Arial" w:eastAsia="inter" w:cs="Arial"/>
                <w:color w:val="000000"/>
                <w:sz w:val="17"/>
              </w:rPr>
              <w:t>4,455.59</w:t>
            </w:r>
          </w:p>
        </w:tc>
      </w:tr>
      <w:tr w14:paraId="71F7D473">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W w:w="1423" w:type="dxa"/>
            <w:tcBorders>
              <w:top w:val="single" w:color="000000" w:sz="0" w:space="0"/>
              <w:bottom w:val="single" w:color="000000" w:sz="0" w:space="0"/>
              <w:right w:val="single" w:color="000000" w:sz="0" w:space="0"/>
            </w:tcBorders>
          </w:tcPr>
          <w:p w14:paraId="0380C8D1">
            <w:pPr>
              <w:spacing w:after="0" w:line="360" w:lineRule="auto"/>
              <w:rPr>
                <w:rFonts w:hint="default" w:ascii="Arial" w:hAnsi="Arial" w:cs="Arial"/>
              </w:rPr>
            </w:pPr>
            <w:r>
              <w:rPr>
                <w:rFonts w:hint="default" w:ascii="Arial" w:hAnsi="Arial" w:eastAsia="inter" w:cs="Arial"/>
                <w:color w:val="000000"/>
                <w:sz w:val="17"/>
              </w:rPr>
              <w:t>Middle Income</w:t>
            </w:r>
          </w:p>
        </w:tc>
        <w:tc>
          <w:tcPr>
            <w:tcW w:w="962" w:type="dxa"/>
            <w:tcBorders>
              <w:top w:val="single" w:color="000000" w:sz="0" w:space="0"/>
              <w:bottom w:val="single" w:color="000000" w:sz="0" w:space="0"/>
              <w:right w:val="single" w:color="000000" w:sz="0" w:space="0"/>
            </w:tcBorders>
          </w:tcPr>
          <w:p w14:paraId="643A97FF">
            <w:pPr>
              <w:spacing w:after="0" w:line="360" w:lineRule="auto"/>
              <w:rPr>
                <w:rFonts w:hint="default" w:ascii="Arial" w:hAnsi="Arial" w:cs="Arial"/>
              </w:rPr>
            </w:pPr>
            <w:r>
              <w:rPr>
                <w:rFonts w:hint="default" w:ascii="Arial" w:hAnsi="Arial" w:eastAsia="inter" w:cs="Arial"/>
                <w:color w:val="000000"/>
                <w:sz w:val="17"/>
              </w:rPr>
              <w:t>1,004</w:t>
            </w:r>
          </w:p>
        </w:tc>
        <w:tc>
          <w:tcPr>
            <w:tcW w:w="1675" w:type="dxa"/>
            <w:tcBorders>
              <w:top w:val="single" w:color="000000" w:sz="0" w:space="0"/>
              <w:bottom w:val="single" w:color="000000" w:sz="0" w:space="0"/>
              <w:right w:val="single" w:color="000000" w:sz="0" w:space="0"/>
            </w:tcBorders>
          </w:tcPr>
          <w:p w14:paraId="2A41384C">
            <w:pPr>
              <w:spacing w:after="0" w:line="360" w:lineRule="auto"/>
              <w:rPr>
                <w:rFonts w:hint="default" w:ascii="Arial" w:hAnsi="Arial" w:cs="Arial"/>
              </w:rPr>
            </w:pPr>
            <w:r>
              <w:rPr>
                <w:rFonts w:hint="default" w:ascii="Arial" w:hAnsi="Arial" w:eastAsia="inter" w:cs="Arial"/>
                <w:color w:val="000000"/>
                <w:sz w:val="17"/>
              </w:rPr>
              <w:t>299.45</w:t>
            </w:r>
          </w:p>
        </w:tc>
        <w:tc>
          <w:tcPr>
            <w:tcW w:w="1712" w:type="dxa"/>
            <w:tcBorders>
              <w:top w:val="single" w:color="000000" w:sz="0" w:space="0"/>
              <w:bottom w:val="single" w:color="000000" w:sz="0" w:space="0"/>
              <w:right w:val="single" w:color="000000" w:sz="0" w:space="0"/>
            </w:tcBorders>
          </w:tcPr>
          <w:p w14:paraId="5F2C27BF">
            <w:pPr>
              <w:spacing w:after="0" w:line="360" w:lineRule="auto"/>
              <w:rPr>
                <w:rFonts w:hint="default" w:ascii="Arial" w:hAnsi="Arial" w:cs="Arial"/>
              </w:rPr>
            </w:pPr>
            <w:r>
              <w:rPr>
                <w:rFonts w:hint="default" w:ascii="Arial" w:hAnsi="Arial" w:eastAsia="inter" w:cs="Arial"/>
                <w:color w:val="000000"/>
                <w:sz w:val="17"/>
              </w:rPr>
              <w:t>300,648</w:t>
            </w:r>
          </w:p>
        </w:tc>
        <w:tc>
          <w:tcPr>
            <w:tcW w:w="1883" w:type="dxa"/>
            <w:tcBorders>
              <w:top w:val="single" w:color="000000" w:sz="0" w:space="0"/>
              <w:bottom w:val="single" w:color="000000" w:sz="0" w:space="0"/>
            </w:tcBorders>
          </w:tcPr>
          <w:p w14:paraId="53923565">
            <w:pPr>
              <w:spacing w:after="0" w:line="360" w:lineRule="auto"/>
              <w:rPr>
                <w:rFonts w:hint="default" w:ascii="Arial" w:hAnsi="Arial" w:cs="Arial"/>
              </w:rPr>
            </w:pPr>
            <w:r>
              <w:rPr>
                <w:rFonts w:hint="default" w:ascii="Arial" w:hAnsi="Arial" w:eastAsia="inter" w:cs="Arial"/>
                <w:color w:val="000000"/>
                <w:sz w:val="17"/>
              </w:rPr>
              <w:t>4,440.43</w:t>
            </w:r>
          </w:p>
        </w:tc>
      </w:tr>
      <w:tr w14:paraId="5B9BF504">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W w:w="1423" w:type="dxa"/>
            <w:tcBorders>
              <w:top w:val="single" w:color="000000" w:sz="0" w:space="0"/>
              <w:bottom w:val="single" w:color="000000" w:sz="0" w:space="0"/>
              <w:right w:val="single" w:color="000000" w:sz="0" w:space="0"/>
            </w:tcBorders>
          </w:tcPr>
          <w:p w14:paraId="3A24D05A">
            <w:pPr>
              <w:spacing w:after="0" w:line="360" w:lineRule="auto"/>
              <w:rPr>
                <w:rFonts w:hint="default" w:ascii="Arial" w:hAnsi="Arial" w:cs="Arial"/>
              </w:rPr>
            </w:pPr>
            <w:r>
              <w:rPr>
                <w:rFonts w:hint="default" w:ascii="Arial" w:hAnsi="Arial" w:eastAsia="inter" w:cs="Arial"/>
                <w:color w:val="000000"/>
                <w:sz w:val="17"/>
              </w:rPr>
              <w:t>Low Income</w:t>
            </w:r>
          </w:p>
        </w:tc>
        <w:tc>
          <w:tcPr>
            <w:tcW w:w="962" w:type="dxa"/>
            <w:tcBorders>
              <w:top w:val="single" w:color="000000" w:sz="0" w:space="0"/>
              <w:bottom w:val="single" w:color="000000" w:sz="0" w:space="0"/>
              <w:right w:val="single" w:color="000000" w:sz="0" w:space="0"/>
            </w:tcBorders>
          </w:tcPr>
          <w:p w14:paraId="3D8A2380">
            <w:pPr>
              <w:spacing w:after="0" w:line="360" w:lineRule="auto"/>
              <w:rPr>
                <w:rFonts w:hint="default" w:ascii="Arial" w:hAnsi="Arial" w:cs="Arial"/>
              </w:rPr>
            </w:pPr>
            <w:r>
              <w:rPr>
                <w:rFonts w:hint="default" w:ascii="Arial" w:hAnsi="Arial" w:eastAsia="inter" w:cs="Arial"/>
                <w:color w:val="000000"/>
                <w:sz w:val="17"/>
              </w:rPr>
              <w:t>370</w:t>
            </w:r>
          </w:p>
        </w:tc>
        <w:tc>
          <w:tcPr>
            <w:tcW w:w="1675" w:type="dxa"/>
            <w:tcBorders>
              <w:top w:val="single" w:color="000000" w:sz="0" w:space="0"/>
              <w:bottom w:val="single" w:color="000000" w:sz="0" w:space="0"/>
              <w:right w:val="single" w:color="000000" w:sz="0" w:space="0"/>
            </w:tcBorders>
          </w:tcPr>
          <w:p w14:paraId="03EBFDF2">
            <w:pPr>
              <w:spacing w:after="0" w:line="360" w:lineRule="auto"/>
              <w:rPr>
                <w:rFonts w:hint="default" w:ascii="Arial" w:hAnsi="Arial" w:cs="Arial"/>
              </w:rPr>
            </w:pPr>
            <w:r>
              <w:rPr>
                <w:rFonts w:hint="default" w:ascii="Arial" w:hAnsi="Arial" w:eastAsia="inter" w:cs="Arial"/>
                <w:color w:val="000000"/>
                <w:sz w:val="17"/>
              </w:rPr>
              <w:t>72.18</w:t>
            </w:r>
          </w:p>
        </w:tc>
        <w:tc>
          <w:tcPr>
            <w:tcW w:w="1712" w:type="dxa"/>
            <w:tcBorders>
              <w:top w:val="single" w:color="000000" w:sz="0" w:space="0"/>
              <w:bottom w:val="single" w:color="000000" w:sz="0" w:space="0"/>
              <w:right w:val="single" w:color="000000" w:sz="0" w:space="0"/>
            </w:tcBorders>
          </w:tcPr>
          <w:p w14:paraId="38D9B3FD">
            <w:pPr>
              <w:spacing w:after="0" w:line="360" w:lineRule="auto"/>
              <w:rPr>
                <w:rFonts w:hint="default" w:ascii="Arial" w:hAnsi="Arial" w:cs="Arial"/>
              </w:rPr>
            </w:pPr>
            <w:r>
              <w:rPr>
                <w:rFonts w:hint="default" w:ascii="Arial" w:hAnsi="Arial" w:eastAsia="inter" w:cs="Arial"/>
                <w:color w:val="000000"/>
                <w:sz w:val="17"/>
              </w:rPr>
              <w:t>26,716</w:t>
            </w:r>
          </w:p>
        </w:tc>
        <w:tc>
          <w:tcPr>
            <w:tcW w:w="1883" w:type="dxa"/>
            <w:tcBorders>
              <w:top w:val="single" w:color="000000" w:sz="0" w:space="0"/>
              <w:bottom w:val="single" w:color="000000" w:sz="0" w:space="0"/>
            </w:tcBorders>
          </w:tcPr>
          <w:p w14:paraId="32A7E02F">
            <w:pPr>
              <w:spacing w:after="0" w:line="360" w:lineRule="auto"/>
              <w:rPr>
                <w:rFonts w:hint="default" w:ascii="Arial" w:hAnsi="Arial" w:cs="Arial"/>
              </w:rPr>
            </w:pPr>
            <w:r>
              <w:rPr>
                <w:rFonts w:hint="default" w:ascii="Arial" w:hAnsi="Arial" w:eastAsia="inter" w:cs="Arial"/>
                <w:color w:val="000000"/>
                <w:sz w:val="17"/>
              </w:rPr>
              <w:t>4,453.81</w:t>
            </w:r>
          </w:p>
        </w:tc>
      </w:tr>
    </w:tbl>
    <w:p w14:paraId="280A8EEB">
      <w:pPr>
        <w:rPr>
          <w:rFonts w:hint="default" w:ascii="Arial" w:hAnsi="Arial" w:cs="Arial"/>
        </w:rPr>
      </w:pPr>
    </w:p>
    <w:p w14:paraId="5FE0DE3F">
      <w:pPr>
        <w:numPr>
          <w:ilvl w:val="0"/>
          <w:numId w:val="4"/>
        </w:numPr>
        <w:spacing w:before="105" w:after="105" w:line="360" w:lineRule="auto"/>
        <w:rPr>
          <w:rFonts w:hint="default" w:ascii="Arial" w:hAnsi="Arial" w:cs="Arial"/>
        </w:rPr>
      </w:pPr>
      <w:r>
        <w:rPr>
          <w:rFonts w:hint="default" w:ascii="Arial" w:hAnsi="Arial" w:eastAsia="inter" w:cs="Arial"/>
          <w:b/>
          <w:color w:val="000000"/>
          <w:sz w:val="21"/>
        </w:rPr>
        <w:t>High Income</w:t>
      </w:r>
      <w:r>
        <w:rPr>
          <w:rFonts w:hint="default" w:ascii="Arial" w:hAnsi="Arial" w:eastAsia="inter" w:cs="Arial"/>
          <w:color w:val="000000"/>
          <w:sz w:val="21"/>
        </w:rPr>
        <w:t xml:space="preserve"> is the principal revenue driver, contributing over </w:t>
      </w:r>
      <w:r>
        <w:rPr>
          <w:rFonts w:hint="default" w:ascii="Arial" w:hAnsi="Arial" w:eastAsia="inter" w:cs="Arial"/>
          <w:b/>
          <w:color w:val="000000"/>
          <w:sz w:val="21"/>
        </w:rPr>
        <w:t>₹1 million</w:t>
      </w:r>
      <w:r>
        <w:rPr>
          <w:rFonts w:hint="default" w:ascii="Arial" w:hAnsi="Arial" w:eastAsia="inter" w:cs="Arial"/>
          <w:color w:val="000000"/>
          <w:sz w:val="21"/>
        </w:rPr>
        <w:t xml:space="preserve"> (82.4% of total spend) while maintaining average recency comparable to other segments.</w:t>
      </w:r>
      <w:bookmarkStart w:id="4" w:name="fnref2:1"/>
      <w:bookmarkEnd w:id="4"/>
      <w:r>
        <w:rPr>
          <w:rFonts w:hint="default" w:ascii="Arial" w:hAnsi="Arial" w:cs="Arial"/>
        </w:rPr>
        <w:fldChar w:fldCharType="begin"/>
      </w:r>
      <w:r>
        <w:rPr>
          <w:rFonts w:hint="default" w:ascii="Arial" w:hAnsi="Arial" w:cs="Arial"/>
        </w:rPr>
        <w:instrText xml:space="preserve"> HYPERLINK \l "fn2" \h </w:instrText>
      </w:r>
      <w:r>
        <w:rPr>
          <w:rFonts w:hint="default" w:ascii="Arial" w:hAnsi="Arial" w:cs="Arial"/>
        </w:rPr>
        <w:fldChar w:fldCharType="separate"/>
      </w:r>
      <w:r>
        <w:rPr>
          <w:rFonts w:hint="default" w:ascii="Arial" w:hAnsi="Arial" w:eastAsia="inter" w:cs="Arial"/>
          <w:color w:val="000000"/>
          <w:sz w:val="21"/>
          <w:u w:val="single"/>
          <w:vertAlign w:val="superscript"/>
        </w:rPr>
        <w:t>[2]</w:t>
      </w:r>
      <w:r>
        <w:rPr>
          <w:rFonts w:hint="default" w:ascii="Arial" w:hAnsi="Arial" w:eastAsia="inter" w:cs="Arial"/>
          <w:color w:val="000000"/>
          <w:sz w:val="21"/>
          <w:u w:val="single"/>
          <w:vertAlign w:val="superscript"/>
        </w:rPr>
        <w:fldChar w:fldCharType="end"/>
      </w:r>
    </w:p>
    <w:p w14:paraId="504EA43C">
      <w:pPr>
        <w:numPr>
          <w:ilvl w:val="0"/>
          <w:numId w:val="4"/>
        </w:numPr>
        <w:spacing w:before="105" w:after="105" w:line="360" w:lineRule="auto"/>
        <w:rPr>
          <w:rFonts w:hint="default" w:ascii="Arial" w:hAnsi="Arial" w:cs="Arial"/>
        </w:rPr>
      </w:pPr>
      <w:r>
        <w:rPr>
          <w:rFonts w:hint="default" w:ascii="Arial" w:hAnsi="Arial" w:eastAsia="inter" w:cs="Arial"/>
          <w:b/>
          <w:color w:val="000000"/>
          <w:sz w:val="21"/>
        </w:rPr>
        <w:t>Premium Income</w:t>
      </w:r>
      <w:r>
        <w:rPr>
          <w:rFonts w:hint="default" w:ascii="Arial" w:hAnsi="Arial" w:eastAsia="inter" w:cs="Arial"/>
          <w:color w:val="000000"/>
          <w:sz w:val="21"/>
        </w:rPr>
        <w:t xml:space="preserve"> customers, though few, exhibit strong per-customer value, warranting upscale retention programs.</w:t>
      </w:r>
    </w:p>
    <w:p w14:paraId="6E0CCD25">
      <w:pPr>
        <w:numPr>
          <w:ilvl w:val="0"/>
          <w:numId w:val="4"/>
        </w:numPr>
        <w:spacing w:before="105" w:after="105" w:line="360" w:lineRule="auto"/>
        <w:rPr>
          <w:rFonts w:hint="default" w:ascii="Arial" w:hAnsi="Arial" w:cs="Arial"/>
        </w:rPr>
      </w:pPr>
      <w:r>
        <w:rPr>
          <w:rFonts w:hint="default" w:ascii="Arial" w:hAnsi="Arial" w:eastAsia="inter" w:cs="Arial"/>
          <w:b/>
          <w:color w:val="000000"/>
          <w:sz w:val="21"/>
        </w:rPr>
        <w:t>Middle Income</w:t>
      </w:r>
      <w:r>
        <w:rPr>
          <w:rFonts w:hint="default" w:ascii="Arial" w:hAnsi="Arial" w:eastAsia="inter" w:cs="Arial"/>
          <w:color w:val="000000"/>
          <w:sz w:val="21"/>
        </w:rPr>
        <w:t xml:space="preserve"> offers volume potential; </w:t>
      </w:r>
      <w:r>
        <w:rPr>
          <w:rFonts w:hint="default" w:ascii="Arial" w:hAnsi="Arial" w:eastAsia="inter" w:cs="Arial"/>
          <w:b/>
          <w:color w:val="000000"/>
          <w:sz w:val="21"/>
        </w:rPr>
        <w:t>Low Income</w:t>
      </w:r>
      <w:r>
        <w:rPr>
          <w:rFonts w:hint="default" w:ascii="Arial" w:hAnsi="Arial" w:eastAsia="inter" w:cs="Arial"/>
          <w:color w:val="000000"/>
          <w:sz w:val="21"/>
        </w:rPr>
        <w:t xml:space="preserve"> segment performance suggests limited spend capacity.</w:t>
      </w:r>
    </w:p>
    <w:p w14:paraId="04C3246A">
      <w:pPr>
        <w:spacing w:before="315" w:after="105" w:line="360" w:lineRule="auto"/>
        <w:ind w:left="-30"/>
        <w:jc w:val="left"/>
        <w:rPr>
          <w:rFonts w:hint="default" w:ascii="Arial" w:hAnsi="Arial" w:cs="Arial"/>
        </w:rPr>
      </w:pPr>
      <w:r>
        <w:rPr>
          <w:rFonts w:hint="default" w:ascii="Arial" w:hAnsi="Arial" w:eastAsia="inter" w:cs="Arial"/>
          <w:b/>
          <w:color w:val="000000"/>
          <w:sz w:val="24"/>
        </w:rPr>
        <w:t>4.2 Campaign Effectiveness by Initiative</w:t>
      </w:r>
    </w:p>
    <w:tbl>
      <w:tblPr>
        <w:tblStyle w:val="5"/>
        <w:tblW w:w="0" w:type="auto"/>
        <w:jc w:val="center"/>
        <w:tblCellSpacing w:w="0"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80" w:type="dxa"/>
          <w:left w:w="160" w:type="dxa"/>
          <w:bottom w:w="80" w:type="dxa"/>
          <w:right w:w="160" w:type="dxa"/>
        </w:tblCellMar>
      </w:tblPr>
      <w:tblGrid>
        <w:gridCol w:w="1545"/>
        <w:gridCol w:w="1200"/>
        <w:gridCol w:w="1173"/>
        <w:gridCol w:w="1658"/>
      </w:tblGrid>
      <w:tr w14:paraId="3CAC45BD">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W w:w="1545" w:type="dxa"/>
            <w:tcBorders>
              <w:top w:val="single" w:color="000000" w:sz="0" w:space="0"/>
              <w:bottom w:val="single" w:color="000000" w:sz="0" w:space="0"/>
              <w:right w:val="single" w:color="000000" w:sz="0" w:space="0"/>
            </w:tcBorders>
          </w:tcPr>
          <w:p w14:paraId="2FEB0863">
            <w:pPr>
              <w:spacing w:after="0" w:line="360" w:lineRule="auto"/>
              <w:rPr>
                <w:rFonts w:hint="default" w:ascii="Arial" w:hAnsi="Arial" w:cs="Arial"/>
              </w:rPr>
            </w:pPr>
            <w:r>
              <w:rPr>
                <w:rFonts w:hint="default" w:ascii="Arial" w:hAnsi="Arial" w:eastAsia="inter" w:cs="Arial"/>
                <w:color w:val="000000"/>
                <w:sz w:val="17"/>
              </w:rPr>
              <w:t>Campaign</w:t>
            </w:r>
          </w:p>
        </w:tc>
        <w:tc>
          <w:tcPr>
            <w:tcW w:w="1200" w:type="dxa"/>
            <w:tcBorders>
              <w:top w:val="single" w:color="000000" w:sz="0" w:space="0"/>
              <w:bottom w:val="single" w:color="000000" w:sz="0" w:space="0"/>
              <w:right w:val="single" w:color="000000" w:sz="0" w:space="0"/>
            </w:tcBorders>
          </w:tcPr>
          <w:p w14:paraId="3F6C2F84">
            <w:pPr>
              <w:spacing w:after="0" w:line="360" w:lineRule="auto"/>
              <w:rPr>
                <w:rFonts w:hint="default" w:ascii="Arial" w:hAnsi="Arial" w:cs="Arial"/>
              </w:rPr>
            </w:pPr>
            <w:r>
              <w:rPr>
                <w:rFonts w:hint="default" w:ascii="Arial" w:hAnsi="Arial" w:eastAsia="inter" w:cs="Arial"/>
                <w:color w:val="000000"/>
                <w:sz w:val="17"/>
              </w:rPr>
              <w:t>Responses</w:t>
            </w:r>
          </w:p>
        </w:tc>
        <w:tc>
          <w:tcPr>
            <w:tcW w:w="1173" w:type="dxa"/>
            <w:tcBorders>
              <w:top w:val="single" w:color="000000" w:sz="0" w:space="0"/>
              <w:bottom w:val="single" w:color="000000" w:sz="0" w:space="0"/>
              <w:right w:val="single" w:color="000000" w:sz="0" w:space="0"/>
            </w:tcBorders>
          </w:tcPr>
          <w:p w14:paraId="15AA683C">
            <w:pPr>
              <w:spacing w:after="0" w:line="360" w:lineRule="auto"/>
              <w:rPr>
                <w:rFonts w:hint="default" w:ascii="Arial" w:hAnsi="Arial" w:cs="Arial"/>
              </w:rPr>
            </w:pPr>
            <w:r>
              <w:rPr>
                <w:rFonts w:hint="default" w:ascii="Arial" w:hAnsi="Arial" w:eastAsia="inter" w:cs="Arial"/>
                <w:color w:val="000000"/>
                <w:sz w:val="17"/>
              </w:rPr>
              <w:t>Invitations</w:t>
            </w:r>
          </w:p>
        </w:tc>
        <w:tc>
          <w:tcPr>
            <w:tcW w:w="1658" w:type="dxa"/>
            <w:tcBorders>
              <w:top w:val="single" w:color="000000" w:sz="0" w:space="0"/>
              <w:bottom w:val="single" w:color="000000" w:sz="0" w:space="0"/>
            </w:tcBorders>
          </w:tcPr>
          <w:p w14:paraId="6B12011A">
            <w:pPr>
              <w:spacing w:after="0" w:line="360" w:lineRule="auto"/>
              <w:rPr>
                <w:rFonts w:hint="default" w:ascii="Arial" w:hAnsi="Arial" w:cs="Arial"/>
              </w:rPr>
            </w:pPr>
            <w:r>
              <w:rPr>
                <w:rFonts w:hint="default" w:ascii="Arial" w:hAnsi="Arial" w:eastAsia="inter" w:cs="Arial"/>
                <w:color w:val="000000"/>
                <w:sz w:val="17"/>
              </w:rPr>
              <w:t>Conversion Rate</w:t>
            </w:r>
          </w:p>
        </w:tc>
      </w:tr>
      <w:tr w14:paraId="2932B220">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W w:w="1545" w:type="dxa"/>
            <w:tcBorders>
              <w:top w:val="single" w:color="000000" w:sz="0" w:space="0"/>
              <w:bottom w:val="single" w:color="000000" w:sz="0" w:space="0"/>
              <w:right w:val="single" w:color="000000" w:sz="0" w:space="0"/>
            </w:tcBorders>
          </w:tcPr>
          <w:p w14:paraId="4F6677E2">
            <w:pPr>
              <w:spacing w:after="0" w:line="360" w:lineRule="auto"/>
              <w:rPr>
                <w:rFonts w:hint="default" w:ascii="Arial" w:hAnsi="Arial" w:cs="Arial"/>
              </w:rPr>
            </w:pPr>
            <w:r>
              <w:rPr>
                <w:rFonts w:hint="default" w:ascii="Arial" w:hAnsi="Arial" w:eastAsia="inter" w:cs="Arial"/>
                <w:color w:val="000000"/>
                <w:sz w:val="17"/>
              </w:rPr>
              <w:t>AcceptedCmp1</w:t>
            </w:r>
          </w:p>
        </w:tc>
        <w:tc>
          <w:tcPr>
            <w:tcW w:w="1200" w:type="dxa"/>
            <w:tcBorders>
              <w:top w:val="single" w:color="000000" w:sz="0" w:space="0"/>
              <w:bottom w:val="single" w:color="000000" w:sz="0" w:space="0"/>
              <w:right w:val="single" w:color="000000" w:sz="0" w:space="0"/>
            </w:tcBorders>
          </w:tcPr>
          <w:p w14:paraId="1DE25355">
            <w:pPr>
              <w:spacing w:after="0" w:line="360" w:lineRule="auto"/>
              <w:rPr>
                <w:rFonts w:hint="default" w:ascii="Arial" w:hAnsi="Arial" w:cs="Arial"/>
              </w:rPr>
            </w:pPr>
            <w:r>
              <w:rPr>
                <w:rFonts w:hint="default" w:ascii="Arial" w:hAnsi="Arial" w:eastAsia="inter" w:cs="Arial"/>
                <w:color w:val="000000"/>
                <w:sz w:val="17"/>
              </w:rPr>
              <w:t>144</w:t>
            </w:r>
          </w:p>
        </w:tc>
        <w:tc>
          <w:tcPr>
            <w:tcW w:w="1173" w:type="dxa"/>
            <w:tcBorders>
              <w:top w:val="single" w:color="000000" w:sz="0" w:space="0"/>
              <w:bottom w:val="single" w:color="000000" w:sz="0" w:space="0"/>
              <w:right w:val="single" w:color="000000" w:sz="0" w:space="0"/>
            </w:tcBorders>
          </w:tcPr>
          <w:p w14:paraId="78BAE8BD">
            <w:pPr>
              <w:spacing w:after="0" w:line="360" w:lineRule="auto"/>
              <w:rPr>
                <w:rFonts w:hint="default" w:ascii="Arial" w:hAnsi="Arial" w:cs="Arial"/>
              </w:rPr>
            </w:pPr>
            <w:r>
              <w:rPr>
                <w:rFonts w:hint="default" w:ascii="Arial" w:hAnsi="Arial" w:eastAsia="inter" w:cs="Arial"/>
                <w:color w:val="000000"/>
                <w:sz w:val="17"/>
              </w:rPr>
              <w:t>2,237</w:t>
            </w:r>
          </w:p>
        </w:tc>
        <w:tc>
          <w:tcPr>
            <w:tcW w:w="1658" w:type="dxa"/>
            <w:tcBorders>
              <w:top w:val="single" w:color="000000" w:sz="0" w:space="0"/>
              <w:bottom w:val="single" w:color="000000" w:sz="0" w:space="0"/>
            </w:tcBorders>
          </w:tcPr>
          <w:p w14:paraId="224116E8">
            <w:pPr>
              <w:spacing w:after="0" w:line="360" w:lineRule="auto"/>
              <w:rPr>
                <w:rFonts w:hint="default" w:ascii="Arial" w:hAnsi="Arial" w:cs="Arial"/>
              </w:rPr>
            </w:pPr>
            <w:r>
              <w:rPr>
                <w:rFonts w:hint="default" w:ascii="Arial" w:hAnsi="Arial" w:eastAsia="inter" w:cs="Arial"/>
                <w:color w:val="000000"/>
                <w:sz w:val="17"/>
              </w:rPr>
              <w:t>6.44%</w:t>
            </w:r>
          </w:p>
        </w:tc>
      </w:tr>
      <w:tr w14:paraId="0E51A5C5">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W w:w="1545" w:type="dxa"/>
            <w:tcBorders>
              <w:top w:val="single" w:color="000000" w:sz="0" w:space="0"/>
              <w:bottom w:val="single" w:color="000000" w:sz="0" w:space="0"/>
              <w:right w:val="single" w:color="000000" w:sz="0" w:space="0"/>
            </w:tcBorders>
          </w:tcPr>
          <w:p w14:paraId="1607F473">
            <w:pPr>
              <w:spacing w:after="0" w:line="360" w:lineRule="auto"/>
              <w:rPr>
                <w:rFonts w:hint="default" w:ascii="Arial" w:hAnsi="Arial" w:cs="Arial"/>
              </w:rPr>
            </w:pPr>
            <w:r>
              <w:rPr>
                <w:rFonts w:hint="default" w:ascii="Arial" w:hAnsi="Arial" w:eastAsia="inter" w:cs="Arial"/>
                <w:color w:val="000000"/>
                <w:sz w:val="17"/>
              </w:rPr>
              <w:t>AcceptedCmp2</w:t>
            </w:r>
          </w:p>
        </w:tc>
        <w:tc>
          <w:tcPr>
            <w:tcW w:w="1200" w:type="dxa"/>
            <w:tcBorders>
              <w:top w:val="single" w:color="000000" w:sz="0" w:space="0"/>
              <w:bottom w:val="single" w:color="000000" w:sz="0" w:space="0"/>
              <w:right w:val="single" w:color="000000" w:sz="0" w:space="0"/>
            </w:tcBorders>
          </w:tcPr>
          <w:p w14:paraId="7CF78BD0">
            <w:pPr>
              <w:spacing w:after="0" w:line="360" w:lineRule="auto"/>
              <w:rPr>
                <w:rFonts w:hint="default" w:ascii="Arial" w:hAnsi="Arial" w:cs="Arial"/>
              </w:rPr>
            </w:pPr>
            <w:r>
              <w:rPr>
                <w:rFonts w:hint="default" w:ascii="Arial" w:hAnsi="Arial" w:eastAsia="inter" w:cs="Arial"/>
                <w:color w:val="000000"/>
                <w:sz w:val="17"/>
              </w:rPr>
              <w:t>30</w:t>
            </w:r>
          </w:p>
        </w:tc>
        <w:tc>
          <w:tcPr>
            <w:tcW w:w="1173" w:type="dxa"/>
            <w:tcBorders>
              <w:top w:val="single" w:color="000000" w:sz="0" w:space="0"/>
              <w:bottom w:val="single" w:color="000000" w:sz="0" w:space="0"/>
              <w:right w:val="single" w:color="000000" w:sz="0" w:space="0"/>
            </w:tcBorders>
          </w:tcPr>
          <w:p w14:paraId="17F6E3D7">
            <w:pPr>
              <w:spacing w:after="0" w:line="360" w:lineRule="auto"/>
              <w:rPr>
                <w:rFonts w:hint="default" w:ascii="Arial" w:hAnsi="Arial" w:cs="Arial"/>
              </w:rPr>
            </w:pPr>
            <w:r>
              <w:rPr>
                <w:rFonts w:hint="default" w:ascii="Arial" w:hAnsi="Arial" w:eastAsia="inter" w:cs="Arial"/>
                <w:color w:val="000000"/>
                <w:sz w:val="17"/>
              </w:rPr>
              <w:t>2,237</w:t>
            </w:r>
          </w:p>
        </w:tc>
        <w:tc>
          <w:tcPr>
            <w:tcW w:w="1658" w:type="dxa"/>
            <w:tcBorders>
              <w:top w:val="single" w:color="000000" w:sz="0" w:space="0"/>
              <w:bottom w:val="single" w:color="000000" w:sz="0" w:space="0"/>
            </w:tcBorders>
          </w:tcPr>
          <w:p w14:paraId="3DC06BA3">
            <w:pPr>
              <w:spacing w:after="0" w:line="360" w:lineRule="auto"/>
              <w:rPr>
                <w:rFonts w:hint="default" w:ascii="Arial" w:hAnsi="Arial" w:cs="Arial"/>
              </w:rPr>
            </w:pPr>
            <w:r>
              <w:rPr>
                <w:rFonts w:hint="default" w:ascii="Arial" w:hAnsi="Arial" w:eastAsia="inter" w:cs="Arial"/>
                <w:color w:val="000000"/>
                <w:sz w:val="17"/>
              </w:rPr>
              <w:t>1.34%</w:t>
            </w:r>
          </w:p>
        </w:tc>
      </w:tr>
      <w:tr w14:paraId="54E99226">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W w:w="1545" w:type="dxa"/>
            <w:tcBorders>
              <w:top w:val="single" w:color="000000" w:sz="0" w:space="0"/>
              <w:bottom w:val="single" w:color="000000" w:sz="0" w:space="0"/>
              <w:right w:val="single" w:color="000000" w:sz="0" w:space="0"/>
            </w:tcBorders>
          </w:tcPr>
          <w:p w14:paraId="2A5E9890">
            <w:pPr>
              <w:spacing w:after="0" w:line="360" w:lineRule="auto"/>
              <w:rPr>
                <w:rFonts w:hint="default" w:ascii="Arial" w:hAnsi="Arial" w:cs="Arial"/>
              </w:rPr>
            </w:pPr>
            <w:r>
              <w:rPr>
                <w:rFonts w:hint="default" w:ascii="Arial" w:hAnsi="Arial" w:eastAsia="inter" w:cs="Arial"/>
                <w:color w:val="000000"/>
                <w:sz w:val="17"/>
              </w:rPr>
              <w:t>AcceptedCmp3</w:t>
            </w:r>
          </w:p>
        </w:tc>
        <w:tc>
          <w:tcPr>
            <w:tcW w:w="1200" w:type="dxa"/>
            <w:tcBorders>
              <w:top w:val="single" w:color="000000" w:sz="0" w:space="0"/>
              <w:bottom w:val="single" w:color="000000" w:sz="0" w:space="0"/>
              <w:right w:val="single" w:color="000000" w:sz="0" w:space="0"/>
            </w:tcBorders>
          </w:tcPr>
          <w:p w14:paraId="009E7933">
            <w:pPr>
              <w:spacing w:after="0" w:line="360" w:lineRule="auto"/>
              <w:rPr>
                <w:rFonts w:hint="default" w:ascii="Arial" w:hAnsi="Arial" w:cs="Arial"/>
              </w:rPr>
            </w:pPr>
            <w:r>
              <w:rPr>
                <w:rFonts w:hint="default" w:ascii="Arial" w:hAnsi="Arial" w:eastAsia="inter" w:cs="Arial"/>
                <w:color w:val="000000"/>
                <w:sz w:val="17"/>
              </w:rPr>
              <w:t>163</w:t>
            </w:r>
          </w:p>
        </w:tc>
        <w:tc>
          <w:tcPr>
            <w:tcW w:w="1173" w:type="dxa"/>
            <w:tcBorders>
              <w:top w:val="single" w:color="000000" w:sz="0" w:space="0"/>
              <w:bottom w:val="single" w:color="000000" w:sz="0" w:space="0"/>
              <w:right w:val="single" w:color="000000" w:sz="0" w:space="0"/>
            </w:tcBorders>
          </w:tcPr>
          <w:p w14:paraId="35D41202">
            <w:pPr>
              <w:spacing w:after="0" w:line="360" w:lineRule="auto"/>
              <w:rPr>
                <w:rFonts w:hint="default" w:ascii="Arial" w:hAnsi="Arial" w:cs="Arial"/>
              </w:rPr>
            </w:pPr>
            <w:r>
              <w:rPr>
                <w:rFonts w:hint="default" w:ascii="Arial" w:hAnsi="Arial" w:eastAsia="inter" w:cs="Arial"/>
                <w:color w:val="000000"/>
                <w:sz w:val="17"/>
              </w:rPr>
              <w:t>2,237</w:t>
            </w:r>
          </w:p>
        </w:tc>
        <w:tc>
          <w:tcPr>
            <w:tcW w:w="1658" w:type="dxa"/>
            <w:tcBorders>
              <w:top w:val="single" w:color="000000" w:sz="0" w:space="0"/>
              <w:bottom w:val="single" w:color="000000" w:sz="0" w:space="0"/>
            </w:tcBorders>
          </w:tcPr>
          <w:p w14:paraId="01B0BCA1">
            <w:pPr>
              <w:spacing w:after="0" w:line="360" w:lineRule="auto"/>
              <w:rPr>
                <w:rFonts w:hint="default" w:ascii="Arial" w:hAnsi="Arial" w:cs="Arial"/>
              </w:rPr>
            </w:pPr>
            <w:r>
              <w:rPr>
                <w:rFonts w:hint="default" w:ascii="Arial" w:hAnsi="Arial" w:eastAsia="inter" w:cs="Arial"/>
                <w:color w:val="000000"/>
                <w:sz w:val="17"/>
              </w:rPr>
              <w:t>7.29%</w:t>
            </w:r>
          </w:p>
        </w:tc>
      </w:tr>
      <w:tr w14:paraId="7810880E">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W w:w="1545" w:type="dxa"/>
            <w:tcBorders>
              <w:top w:val="single" w:color="000000" w:sz="0" w:space="0"/>
              <w:bottom w:val="single" w:color="000000" w:sz="0" w:space="0"/>
              <w:right w:val="single" w:color="000000" w:sz="0" w:space="0"/>
            </w:tcBorders>
          </w:tcPr>
          <w:p w14:paraId="5997CFAD">
            <w:pPr>
              <w:spacing w:after="0" w:line="360" w:lineRule="auto"/>
              <w:rPr>
                <w:rFonts w:hint="default" w:ascii="Arial" w:hAnsi="Arial" w:cs="Arial"/>
              </w:rPr>
            </w:pPr>
            <w:r>
              <w:rPr>
                <w:rFonts w:hint="default" w:ascii="Arial" w:hAnsi="Arial" w:eastAsia="inter" w:cs="Arial"/>
                <w:color w:val="000000"/>
                <w:sz w:val="17"/>
              </w:rPr>
              <w:t>AcceptedCmp4</w:t>
            </w:r>
          </w:p>
        </w:tc>
        <w:tc>
          <w:tcPr>
            <w:tcW w:w="1200" w:type="dxa"/>
            <w:tcBorders>
              <w:top w:val="single" w:color="000000" w:sz="0" w:space="0"/>
              <w:bottom w:val="single" w:color="000000" w:sz="0" w:space="0"/>
              <w:right w:val="single" w:color="000000" w:sz="0" w:space="0"/>
            </w:tcBorders>
          </w:tcPr>
          <w:p w14:paraId="0E861029">
            <w:pPr>
              <w:spacing w:after="0" w:line="360" w:lineRule="auto"/>
              <w:rPr>
                <w:rFonts w:hint="default" w:ascii="Arial" w:hAnsi="Arial" w:cs="Arial"/>
              </w:rPr>
            </w:pPr>
            <w:r>
              <w:rPr>
                <w:rFonts w:hint="default" w:ascii="Arial" w:hAnsi="Arial" w:eastAsia="inter" w:cs="Arial"/>
                <w:color w:val="000000"/>
                <w:sz w:val="17"/>
              </w:rPr>
              <w:t>167</w:t>
            </w:r>
          </w:p>
        </w:tc>
        <w:tc>
          <w:tcPr>
            <w:tcW w:w="1173" w:type="dxa"/>
            <w:tcBorders>
              <w:top w:val="single" w:color="000000" w:sz="0" w:space="0"/>
              <w:bottom w:val="single" w:color="000000" w:sz="0" w:space="0"/>
              <w:right w:val="single" w:color="000000" w:sz="0" w:space="0"/>
            </w:tcBorders>
          </w:tcPr>
          <w:p w14:paraId="69992502">
            <w:pPr>
              <w:spacing w:after="0" w:line="360" w:lineRule="auto"/>
              <w:rPr>
                <w:rFonts w:hint="default" w:ascii="Arial" w:hAnsi="Arial" w:cs="Arial"/>
              </w:rPr>
            </w:pPr>
            <w:r>
              <w:rPr>
                <w:rFonts w:hint="default" w:ascii="Arial" w:hAnsi="Arial" w:eastAsia="inter" w:cs="Arial"/>
                <w:color w:val="000000"/>
                <w:sz w:val="17"/>
              </w:rPr>
              <w:t>2,237</w:t>
            </w:r>
          </w:p>
        </w:tc>
        <w:tc>
          <w:tcPr>
            <w:tcW w:w="1658" w:type="dxa"/>
            <w:tcBorders>
              <w:top w:val="single" w:color="000000" w:sz="0" w:space="0"/>
              <w:bottom w:val="single" w:color="000000" w:sz="0" w:space="0"/>
            </w:tcBorders>
          </w:tcPr>
          <w:p w14:paraId="616E4042">
            <w:pPr>
              <w:spacing w:after="0" w:line="360" w:lineRule="auto"/>
              <w:rPr>
                <w:rFonts w:hint="default" w:ascii="Arial" w:hAnsi="Arial" w:cs="Arial"/>
              </w:rPr>
            </w:pPr>
            <w:r>
              <w:rPr>
                <w:rFonts w:hint="default" w:ascii="Arial" w:hAnsi="Arial" w:eastAsia="inter" w:cs="Arial"/>
                <w:color w:val="000000"/>
                <w:sz w:val="17"/>
              </w:rPr>
              <w:t>7.46%</w:t>
            </w:r>
          </w:p>
        </w:tc>
      </w:tr>
      <w:tr w14:paraId="359572DB">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W w:w="1545" w:type="dxa"/>
            <w:tcBorders>
              <w:top w:val="single" w:color="000000" w:sz="0" w:space="0"/>
              <w:bottom w:val="single" w:color="000000" w:sz="0" w:space="0"/>
              <w:right w:val="single" w:color="000000" w:sz="0" w:space="0"/>
            </w:tcBorders>
          </w:tcPr>
          <w:p w14:paraId="5F11EE0E">
            <w:pPr>
              <w:spacing w:after="0" w:line="360" w:lineRule="auto"/>
              <w:rPr>
                <w:rFonts w:hint="default" w:ascii="Arial" w:hAnsi="Arial" w:cs="Arial"/>
              </w:rPr>
            </w:pPr>
            <w:r>
              <w:rPr>
                <w:rFonts w:hint="default" w:ascii="Arial" w:hAnsi="Arial" w:eastAsia="inter" w:cs="Arial"/>
                <w:color w:val="000000"/>
                <w:sz w:val="17"/>
              </w:rPr>
              <w:t>AcceptedCmp5</w:t>
            </w:r>
          </w:p>
        </w:tc>
        <w:tc>
          <w:tcPr>
            <w:tcW w:w="1200" w:type="dxa"/>
            <w:tcBorders>
              <w:top w:val="single" w:color="000000" w:sz="0" w:space="0"/>
              <w:bottom w:val="single" w:color="000000" w:sz="0" w:space="0"/>
              <w:right w:val="single" w:color="000000" w:sz="0" w:space="0"/>
            </w:tcBorders>
          </w:tcPr>
          <w:p w14:paraId="476B203D">
            <w:pPr>
              <w:spacing w:after="0" w:line="360" w:lineRule="auto"/>
              <w:rPr>
                <w:rFonts w:hint="default" w:ascii="Arial" w:hAnsi="Arial" w:cs="Arial"/>
              </w:rPr>
            </w:pPr>
            <w:r>
              <w:rPr>
                <w:rFonts w:hint="default" w:ascii="Arial" w:hAnsi="Arial" w:eastAsia="inter" w:cs="Arial"/>
                <w:color w:val="000000"/>
                <w:sz w:val="17"/>
              </w:rPr>
              <w:t>162</w:t>
            </w:r>
          </w:p>
        </w:tc>
        <w:tc>
          <w:tcPr>
            <w:tcW w:w="1173" w:type="dxa"/>
            <w:tcBorders>
              <w:top w:val="single" w:color="000000" w:sz="0" w:space="0"/>
              <w:bottom w:val="single" w:color="000000" w:sz="0" w:space="0"/>
              <w:right w:val="single" w:color="000000" w:sz="0" w:space="0"/>
            </w:tcBorders>
          </w:tcPr>
          <w:p w14:paraId="5C414659">
            <w:pPr>
              <w:spacing w:after="0" w:line="360" w:lineRule="auto"/>
              <w:rPr>
                <w:rFonts w:hint="default" w:ascii="Arial" w:hAnsi="Arial" w:cs="Arial"/>
              </w:rPr>
            </w:pPr>
            <w:r>
              <w:rPr>
                <w:rFonts w:hint="default" w:ascii="Arial" w:hAnsi="Arial" w:eastAsia="inter" w:cs="Arial"/>
                <w:color w:val="000000"/>
                <w:sz w:val="17"/>
              </w:rPr>
              <w:t>2,237</w:t>
            </w:r>
          </w:p>
        </w:tc>
        <w:tc>
          <w:tcPr>
            <w:tcW w:w="1658" w:type="dxa"/>
            <w:tcBorders>
              <w:top w:val="single" w:color="000000" w:sz="0" w:space="0"/>
              <w:bottom w:val="single" w:color="000000" w:sz="0" w:space="0"/>
            </w:tcBorders>
          </w:tcPr>
          <w:p w14:paraId="218FEF1E">
            <w:pPr>
              <w:spacing w:after="0" w:line="360" w:lineRule="auto"/>
              <w:rPr>
                <w:rFonts w:hint="default" w:ascii="Arial" w:hAnsi="Arial" w:cs="Arial"/>
              </w:rPr>
            </w:pPr>
            <w:r>
              <w:rPr>
                <w:rFonts w:hint="default" w:ascii="Arial" w:hAnsi="Arial" w:eastAsia="inter" w:cs="Arial"/>
                <w:color w:val="000000"/>
                <w:sz w:val="17"/>
              </w:rPr>
              <w:t>7.24%</w:t>
            </w:r>
          </w:p>
        </w:tc>
      </w:tr>
    </w:tbl>
    <w:p w14:paraId="047701B4">
      <w:pPr>
        <w:rPr>
          <w:rFonts w:hint="default" w:ascii="Arial" w:hAnsi="Arial" w:cs="Arial"/>
        </w:rPr>
      </w:pPr>
    </w:p>
    <w:p w14:paraId="2E52C0AE">
      <w:pPr>
        <w:numPr>
          <w:ilvl w:val="0"/>
          <w:numId w:val="5"/>
        </w:numPr>
        <w:spacing w:before="105" w:after="105" w:line="360" w:lineRule="auto"/>
        <w:rPr>
          <w:rFonts w:hint="default" w:ascii="Arial" w:hAnsi="Arial" w:cs="Arial"/>
        </w:rPr>
      </w:pPr>
      <w:r>
        <w:rPr>
          <w:rFonts w:hint="default" w:ascii="Arial" w:hAnsi="Arial" w:eastAsia="inter" w:cs="Arial"/>
          <w:b/>
          <w:color w:val="000000"/>
          <w:sz w:val="21"/>
        </w:rPr>
        <w:t>Campaigns 3–5</w:t>
      </w:r>
      <w:r>
        <w:rPr>
          <w:rFonts w:hint="default" w:ascii="Arial" w:hAnsi="Arial" w:eastAsia="inter" w:cs="Arial"/>
          <w:color w:val="000000"/>
          <w:sz w:val="21"/>
        </w:rPr>
        <w:t xml:space="preserve"> deliver the highest conversion (~7.3%–7.5%), indicating exceptional offer-segment alignment.</w:t>
      </w:r>
      <w:bookmarkStart w:id="5" w:name="fnref4:1"/>
      <w:bookmarkEnd w:id="5"/>
    </w:p>
    <w:p w14:paraId="11014902">
      <w:pPr>
        <w:numPr>
          <w:ilvl w:val="0"/>
          <w:numId w:val="5"/>
        </w:numPr>
        <w:spacing w:before="105" w:after="105" w:line="360" w:lineRule="auto"/>
        <w:rPr>
          <w:rFonts w:hint="default" w:ascii="Arial" w:hAnsi="Arial" w:cs="Arial"/>
        </w:rPr>
      </w:pPr>
      <w:r>
        <w:rPr>
          <w:rFonts w:hint="default" w:ascii="Arial" w:hAnsi="Arial" w:eastAsia="inter" w:cs="Arial"/>
          <w:b/>
          <w:color w:val="000000"/>
          <w:sz w:val="21"/>
        </w:rPr>
        <w:t>Campaign 2</w:t>
      </w:r>
      <w:r>
        <w:rPr>
          <w:rFonts w:hint="default" w:ascii="Arial" w:hAnsi="Arial" w:eastAsia="inter" w:cs="Arial"/>
          <w:color w:val="000000"/>
          <w:sz w:val="21"/>
        </w:rPr>
        <w:t xml:space="preserve"> underperforms at 1.34%, meriting creative or audience revision.</w:t>
      </w:r>
    </w:p>
    <w:p w14:paraId="3BE8EDF0">
      <w:pPr>
        <w:numPr>
          <w:ilvl w:val="0"/>
          <w:numId w:val="5"/>
        </w:numPr>
        <w:spacing w:before="105" w:after="105" w:line="360" w:lineRule="auto"/>
        <w:rPr>
          <w:rFonts w:hint="default" w:ascii="Arial" w:hAnsi="Arial" w:cs="Arial"/>
        </w:rPr>
      </w:pPr>
      <w:r>
        <w:rPr>
          <w:rFonts w:hint="default" w:ascii="Arial" w:hAnsi="Arial" w:eastAsia="inter" w:cs="Arial"/>
          <w:b/>
          <w:color w:val="000000"/>
          <w:sz w:val="21"/>
        </w:rPr>
        <w:t>Overall per-invitation conversion</w:t>
      </w:r>
      <w:r>
        <w:rPr>
          <w:rFonts w:hint="default" w:ascii="Arial" w:hAnsi="Arial" w:eastAsia="inter" w:cs="Arial"/>
          <w:color w:val="000000"/>
          <w:sz w:val="21"/>
        </w:rPr>
        <w:t xml:space="preserve"> (666 responses across 11,185 invitations) is </w:t>
      </w:r>
      <w:r>
        <w:rPr>
          <w:rFonts w:hint="default" w:ascii="Arial" w:hAnsi="Arial" w:eastAsia="inter" w:cs="Arial"/>
          <w:b/>
          <w:color w:val="000000"/>
          <w:sz w:val="21"/>
        </w:rPr>
        <w:t>5.95%</w:t>
      </w:r>
      <w:r>
        <w:rPr>
          <w:rFonts w:hint="default" w:ascii="Arial" w:hAnsi="Arial" w:eastAsia="inter" w:cs="Arial"/>
          <w:color w:val="000000"/>
          <w:sz w:val="21"/>
        </w:rPr>
        <w:t>, exceeding typical benchmarks for targeted re-engagement.</w:t>
      </w:r>
    </w:p>
    <w:p w14:paraId="36F0CDF6">
      <w:pPr>
        <w:spacing w:before="315" w:after="105" w:line="360" w:lineRule="auto"/>
        <w:ind w:left="-30"/>
        <w:jc w:val="left"/>
        <w:rPr>
          <w:rFonts w:hint="default" w:ascii="Arial" w:hAnsi="Arial" w:cs="Arial"/>
        </w:rPr>
      </w:pPr>
      <w:r>
        <w:rPr>
          <w:rFonts w:hint="default" w:ascii="Arial" w:hAnsi="Arial" w:eastAsia="inter" w:cs="Arial"/>
          <w:b/>
          <w:color w:val="000000"/>
          <w:sz w:val="24"/>
        </w:rPr>
        <w:t>4.3 Geographic Spend Distribution</w:t>
      </w:r>
    </w:p>
    <w:tbl>
      <w:tblPr>
        <w:tblStyle w:val="5"/>
        <w:tblW w:w="0" w:type="auto"/>
        <w:jc w:val="center"/>
        <w:tblCellSpacing w:w="0"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autofit"/>
        <w:tblCellMar>
          <w:top w:w="80" w:type="dxa"/>
          <w:left w:w="160" w:type="dxa"/>
          <w:bottom w:w="80" w:type="dxa"/>
          <w:right w:w="160" w:type="dxa"/>
        </w:tblCellMar>
      </w:tblPr>
      <w:tblGrid>
        <w:gridCol w:w="1299"/>
        <w:gridCol w:w="923"/>
        <w:gridCol w:w="1518"/>
        <w:gridCol w:w="1618"/>
      </w:tblGrid>
      <w:tr w14:paraId="76E7F994">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288E5739">
            <w:pPr>
              <w:spacing w:after="0" w:line="360" w:lineRule="auto"/>
              <w:rPr>
                <w:rFonts w:hint="default" w:ascii="Arial" w:hAnsi="Arial" w:cs="Arial"/>
              </w:rPr>
            </w:pPr>
            <w:r>
              <w:rPr>
                <w:rFonts w:hint="default" w:ascii="Arial" w:hAnsi="Arial" w:eastAsia="inter" w:cs="Arial"/>
                <w:color w:val="000000"/>
                <w:sz w:val="17"/>
              </w:rPr>
              <w:t>Country</w:t>
            </w:r>
          </w:p>
        </w:tc>
        <w:tc>
          <w:tcPr>
            <w:tcW w:w="923" w:type="dxa"/>
            <w:tcBorders>
              <w:top w:val="single" w:color="000000" w:sz="0" w:space="0"/>
              <w:bottom w:val="single" w:color="000000" w:sz="0" w:space="0"/>
              <w:right w:val="single" w:color="000000" w:sz="0" w:space="0"/>
            </w:tcBorders>
          </w:tcPr>
          <w:p w14:paraId="4865AA94">
            <w:pPr>
              <w:spacing w:after="0" w:line="360" w:lineRule="auto"/>
              <w:rPr>
                <w:rFonts w:hint="default" w:ascii="Arial" w:hAnsi="Arial" w:cs="Arial"/>
              </w:rPr>
            </w:pPr>
            <w:r>
              <w:rPr>
                <w:rFonts w:hint="default" w:ascii="Arial" w:hAnsi="Arial" w:eastAsia="inter" w:cs="Arial"/>
                <w:color w:val="000000"/>
                <w:sz w:val="17"/>
              </w:rPr>
              <w:t>Count</w:t>
            </w:r>
          </w:p>
        </w:tc>
        <w:tc>
          <w:tcPr>
            <w:tcW w:w="1518" w:type="dxa"/>
            <w:tcBorders>
              <w:top w:val="single" w:color="000000" w:sz="0" w:space="0"/>
              <w:bottom w:val="single" w:color="000000" w:sz="0" w:space="0"/>
              <w:right w:val="single" w:color="000000" w:sz="0" w:space="0"/>
            </w:tcBorders>
          </w:tcPr>
          <w:p w14:paraId="7BEEA346">
            <w:pPr>
              <w:spacing w:after="0" w:line="360" w:lineRule="auto"/>
              <w:rPr>
                <w:rFonts w:hint="default" w:ascii="Arial" w:hAnsi="Arial" w:cs="Arial"/>
              </w:rPr>
            </w:pPr>
            <w:r>
              <w:rPr>
                <w:rFonts w:hint="default" w:ascii="Arial" w:hAnsi="Arial" w:eastAsia="inter" w:cs="Arial"/>
                <w:color w:val="000000"/>
                <w:sz w:val="17"/>
              </w:rPr>
              <w:t>Total Spend (₹)</w:t>
            </w:r>
          </w:p>
        </w:tc>
        <w:tc>
          <w:tcPr>
            <w:tcW w:w="1618" w:type="dxa"/>
            <w:tcBorders>
              <w:top w:val="single" w:color="000000" w:sz="0" w:space="0"/>
              <w:bottom w:val="single" w:color="000000" w:sz="0" w:space="0"/>
            </w:tcBorders>
          </w:tcPr>
          <w:p w14:paraId="078E8A5A">
            <w:pPr>
              <w:spacing w:after="0" w:line="360" w:lineRule="auto"/>
              <w:rPr>
                <w:rFonts w:hint="default" w:ascii="Arial" w:hAnsi="Arial" w:cs="Arial"/>
              </w:rPr>
            </w:pPr>
            <w:r>
              <w:rPr>
                <w:rFonts w:hint="default" w:ascii="Arial" w:hAnsi="Arial" w:eastAsia="inter" w:cs="Arial"/>
                <w:color w:val="000000"/>
                <w:sz w:val="17"/>
              </w:rPr>
              <w:t>Avg Spend (₹)</w:t>
            </w:r>
          </w:p>
        </w:tc>
      </w:tr>
      <w:tr w14:paraId="27367571">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00CCEB04">
            <w:pPr>
              <w:spacing w:after="0" w:line="360" w:lineRule="auto"/>
              <w:rPr>
                <w:rFonts w:hint="default" w:ascii="Arial" w:hAnsi="Arial" w:cs="Arial"/>
              </w:rPr>
            </w:pPr>
            <w:r>
              <w:rPr>
                <w:rFonts w:hint="default" w:ascii="Arial" w:hAnsi="Arial" w:eastAsia="inter" w:cs="Arial"/>
                <w:color w:val="000000"/>
                <w:sz w:val="17"/>
              </w:rPr>
              <w:t>Spain</w:t>
            </w:r>
          </w:p>
        </w:tc>
        <w:tc>
          <w:tcPr>
            <w:tcW w:w="923" w:type="dxa"/>
            <w:tcBorders>
              <w:top w:val="single" w:color="000000" w:sz="0" w:space="0"/>
              <w:bottom w:val="single" w:color="000000" w:sz="0" w:space="0"/>
              <w:right w:val="single" w:color="000000" w:sz="0" w:space="0"/>
            </w:tcBorders>
          </w:tcPr>
          <w:p w14:paraId="7E9EAF22">
            <w:pPr>
              <w:spacing w:after="0" w:line="360" w:lineRule="auto"/>
              <w:rPr>
                <w:rFonts w:hint="default" w:ascii="Arial" w:hAnsi="Arial" w:cs="Arial"/>
              </w:rPr>
            </w:pPr>
            <w:r>
              <w:rPr>
                <w:rFonts w:hint="default" w:ascii="Arial" w:hAnsi="Arial" w:eastAsia="inter" w:cs="Arial"/>
                <w:color w:val="000000"/>
                <w:sz w:val="17"/>
              </w:rPr>
              <w:t>1,094</w:t>
            </w:r>
          </w:p>
        </w:tc>
        <w:tc>
          <w:tcPr>
            <w:tcW w:w="1518" w:type="dxa"/>
            <w:tcBorders>
              <w:top w:val="single" w:color="000000" w:sz="0" w:space="0"/>
              <w:bottom w:val="single" w:color="000000" w:sz="0" w:space="0"/>
              <w:right w:val="single" w:color="000000" w:sz="0" w:space="0"/>
            </w:tcBorders>
          </w:tcPr>
          <w:p w14:paraId="40096EFE">
            <w:pPr>
              <w:spacing w:after="0" w:line="360" w:lineRule="auto"/>
              <w:rPr>
                <w:rFonts w:hint="default" w:ascii="Arial" w:hAnsi="Arial" w:cs="Arial"/>
              </w:rPr>
            </w:pPr>
            <w:r>
              <w:rPr>
                <w:rFonts w:hint="default" w:ascii="Arial" w:hAnsi="Arial" w:eastAsia="inter" w:cs="Arial"/>
                <w:color w:val="000000"/>
                <w:sz w:val="17"/>
              </w:rPr>
              <w:t>660,367</w:t>
            </w:r>
          </w:p>
        </w:tc>
        <w:tc>
          <w:tcPr>
            <w:tcW w:w="1618" w:type="dxa"/>
            <w:tcBorders>
              <w:top w:val="single" w:color="000000" w:sz="0" w:space="0"/>
              <w:bottom w:val="single" w:color="000000" w:sz="0" w:space="0"/>
            </w:tcBorders>
          </w:tcPr>
          <w:p w14:paraId="2C9BB379">
            <w:pPr>
              <w:spacing w:after="0" w:line="360" w:lineRule="auto"/>
              <w:rPr>
                <w:rFonts w:hint="default" w:ascii="Arial" w:hAnsi="Arial" w:cs="Arial"/>
              </w:rPr>
            </w:pPr>
            <w:r>
              <w:rPr>
                <w:rFonts w:hint="default" w:ascii="Arial" w:hAnsi="Arial" w:eastAsia="inter" w:cs="Arial"/>
                <w:color w:val="000000"/>
                <w:sz w:val="17"/>
              </w:rPr>
              <w:t>603.63</w:t>
            </w:r>
          </w:p>
        </w:tc>
      </w:tr>
      <w:tr w14:paraId="07D6593E">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047BAFB6">
            <w:pPr>
              <w:spacing w:after="0" w:line="360" w:lineRule="auto"/>
              <w:rPr>
                <w:rFonts w:hint="default" w:ascii="Arial" w:hAnsi="Arial" w:cs="Arial"/>
              </w:rPr>
            </w:pPr>
            <w:r>
              <w:rPr>
                <w:rFonts w:hint="default" w:ascii="Arial" w:hAnsi="Arial" w:eastAsia="inter" w:cs="Arial"/>
                <w:color w:val="000000"/>
                <w:sz w:val="17"/>
              </w:rPr>
              <w:t>Saudi Arabia</w:t>
            </w:r>
          </w:p>
        </w:tc>
        <w:tc>
          <w:tcPr>
            <w:tcW w:w="923" w:type="dxa"/>
            <w:tcBorders>
              <w:top w:val="single" w:color="000000" w:sz="0" w:space="0"/>
              <w:bottom w:val="single" w:color="000000" w:sz="0" w:space="0"/>
              <w:right w:val="single" w:color="000000" w:sz="0" w:space="0"/>
            </w:tcBorders>
          </w:tcPr>
          <w:p w14:paraId="61D96E7C">
            <w:pPr>
              <w:spacing w:after="0" w:line="360" w:lineRule="auto"/>
              <w:rPr>
                <w:rFonts w:hint="default" w:ascii="Arial" w:hAnsi="Arial" w:cs="Arial"/>
              </w:rPr>
            </w:pPr>
            <w:r>
              <w:rPr>
                <w:rFonts w:hint="default" w:ascii="Arial" w:hAnsi="Arial" w:eastAsia="inter" w:cs="Arial"/>
                <w:color w:val="000000"/>
                <w:sz w:val="17"/>
              </w:rPr>
              <w:t>336</w:t>
            </w:r>
          </w:p>
        </w:tc>
        <w:tc>
          <w:tcPr>
            <w:tcW w:w="1518" w:type="dxa"/>
            <w:tcBorders>
              <w:top w:val="single" w:color="000000" w:sz="0" w:space="0"/>
              <w:bottom w:val="single" w:color="000000" w:sz="0" w:space="0"/>
              <w:right w:val="single" w:color="000000" w:sz="0" w:space="0"/>
            </w:tcBorders>
          </w:tcPr>
          <w:p w14:paraId="06AE0F5D">
            <w:pPr>
              <w:spacing w:after="0" w:line="360" w:lineRule="auto"/>
              <w:rPr>
                <w:rFonts w:hint="default" w:ascii="Arial" w:hAnsi="Arial" w:cs="Arial"/>
              </w:rPr>
            </w:pPr>
            <w:r>
              <w:rPr>
                <w:rFonts w:hint="default" w:ascii="Arial" w:hAnsi="Arial" w:eastAsia="inter" w:cs="Arial"/>
                <w:color w:val="000000"/>
                <w:sz w:val="17"/>
              </w:rPr>
              <w:t>211,049</w:t>
            </w:r>
          </w:p>
        </w:tc>
        <w:tc>
          <w:tcPr>
            <w:tcW w:w="1618" w:type="dxa"/>
            <w:tcBorders>
              <w:top w:val="single" w:color="000000" w:sz="0" w:space="0"/>
              <w:bottom w:val="single" w:color="000000" w:sz="0" w:space="0"/>
            </w:tcBorders>
          </w:tcPr>
          <w:p w14:paraId="5F70983A">
            <w:pPr>
              <w:spacing w:after="0" w:line="360" w:lineRule="auto"/>
              <w:rPr>
                <w:rFonts w:hint="default" w:ascii="Arial" w:hAnsi="Arial" w:cs="Arial"/>
              </w:rPr>
            </w:pPr>
            <w:r>
              <w:rPr>
                <w:rFonts w:hint="default" w:ascii="Arial" w:hAnsi="Arial" w:eastAsia="inter" w:cs="Arial"/>
                <w:color w:val="000000"/>
                <w:sz w:val="17"/>
              </w:rPr>
              <w:t>628.12</w:t>
            </w:r>
          </w:p>
        </w:tc>
      </w:tr>
      <w:tr w14:paraId="46B2B434">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1CB9C15D">
            <w:pPr>
              <w:spacing w:after="0" w:line="360" w:lineRule="auto"/>
              <w:rPr>
                <w:rFonts w:hint="default" w:ascii="Arial" w:hAnsi="Arial" w:cs="Arial"/>
              </w:rPr>
            </w:pPr>
            <w:r>
              <w:rPr>
                <w:rFonts w:hint="default" w:ascii="Arial" w:hAnsi="Arial" w:eastAsia="inter" w:cs="Arial"/>
                <w:color w:val="000000"/>
                <w:sz w:val="17"/>
              </w:rPr>
              <w:t>Canada</w:t>
            </w:r>
          </w:p>
        </w:tc>
        <w:tc>
          <w:tcPr>
            <w:tcW w:w="923" w:type="dxa"/>
            <w:tcBorders>
              <w:top w:val="single" w:color="000000" w:sz="0" w:space="0"/>
              <w:bottom w:val="single" w:color="000000" w:sz="0" w:space="0"/>
              <w:right w:val="single" w:color="000000" w:sz="0" w:space="0"/>
            </w:tcBorders>
          </w:tcPr>
          <w:p w14:paraId="6CE55432">
            <w:pPr>
              <w:spacing w:after="0" w:line="360" w:lineRule="auto"/>
              <w:rPr>
                <w:rFonts w:hint="default" w:ascii="Arial" w:hAnsi="Arial" w:cs="Arial"/>
              </w:rPr>
            </w:pPr>
            <w:r>
              <w:rPr>
                <w:rFonts w:hint="default" w:ascii="Arial" w:hAnsi="Arial" w:eastAsia="inter" w:cs="Arial"/>
                <w:color w:val="000000"/>
                <w:sz w:val="17"/>
              </w:rPr>
              <w:t>268</w:t>
            </w:r>
          </w:p>
        </w:tc>
        <w:tc>
          <w:tcPr>
            <w:tcW w:w="1518" w:type="dxa"/>
            <w:tcBorders>
              <w:top w:val="single" w:color="000000" w:sz="0" w:space="0"/>
              <w:bottom w:val="single" w:color="000000" w:sz="0" w:space="0"/>
              <w:right w:val="single" w:color="000000" w:sz="0" w:space="0"/>
            </w:tcBorders>
          </w:tcPr>
          <w:p w14:paraId="1D361CD9">
            <w:pPr>
              <w:spacing w:after="0" w:line="360" w:lineRule="auto"/>
              <w:rPr>
                <w:rFonts w:hint="default" w:ascii="Arial" w:hAnsi="Arial" w:cs="Arial"/>
              </w:rPr>
            </w:pPr>
            <w:r>
              <w:rPr>
                <w:rFonts w:hint="default" w:ascii="Arial" w:hAnsi="Arial" w:eastAsia="inter" w:cs="Arial"/>
                <w:color w:val="000000"/>
                <w:sz w:val="17"/>
              </w:rPr>
              <w:t>168,532</w:t>
            </w:r>
          </w:p>
        </w:tc>
        <w:tc>
          <w:tcPr>
            <w:tcW w:w="1618" w:type="dxa"/>
            <w:tcBorders>
              <w:top w:val="single" w:color="000000" w:sz="0" w:space="0"/>
              <w:bottom w:val="single" w:color="000000" w:sz="0" w:space="0"/>
            </w:tcBorders>
          </w:tcPr>
          <w:p w14:paraId="0F974F09">
            <w:pPr>
              <w:spacing w:after="0" w:line="360" w:lineRule="auto"/>
              <w:rPr>
                <w:rFonts w:hint="default" w:ascii="Arial" w:hAnsi="Arial" w:cs="Arial"/>
              </w:rPr>
            </w:pPr>
            <w:r>
              <w:rPr>
                <w:rFonts w:hint="default" w:ascii="Arial" w:hAnsi="Arial" w:eastAsia="inter" w:cs="Arial"/>
                <w:color w:val="000000"/>
                <w:sz w:val="17"/>
              </w:rPr>
              <w:t>628.85</w:t>
            </w:r>
          </w:p>
        </w:tc>
      </w:tr>
      <w:tr w14:paraId="017720E3">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2CAFDD84">
            <w:pPr>
              <w:spacing w:after="0" w:line="360" w:lineRule="auto"/>
              <w:rPr>
                <w:rFonts w:hint="default" w:ascii="Arial" w:hAnsi="Arial" w:cs="Arial"/>
              </w:rPr>
            </w:pPr>
            <w:r>
              <w:rPr>
                <w:rFonts w:hint="default" w:ascii="Arial" w:hAnsi="Arial" w:eastAsia="inter" w:cs="Arial"/>
                <w:color w:val="000000"/>
                <w:sz w:val="17"/>
              </w:rPr>
              <w:t>USA</w:t>
            </w:r>
          </w:p>
        </w:tc>
        <w:tc>
          <w:tcPr>
            <w:tcW w:w="923" w:type="dxa"/>
            <w:tcBorders>
              <w:top w:val="single" w:color="000000" w:sz="0" w:space="0"/>
              <w:bottom w:val="single" w:color="000000" w:sz="0" w:space="0"/>
              <w:right w:val="single" w:color="000000" w:sz="0" w:space="0"/>
            </w:tcBorders>
          </w:tcPr>
          <w:p w14:paraId="7E57857C">
            <w:pPr>
              <w:spacing w:after="0" w:line="360" w:lineRule="auto"/>
              <w:rPr>
                <w:rFonts w:hint="default" w:ascii="Arial" w:hAnsi="Arial" w:cs="Arial"/>
              </w:rPr>
            </w:pPr>
            <w:r>
              <w:rPr>
                <w:rFonts w:hint="default" w:ascii="Arial" w:hAnsi="Arial" w:eastAsia="inter" w:cs="Arial"/>
                <w:color w:val="000000"/>
                <w:sz w:val="17"/>
              </w:rPr>
              <w:t>109</w:t>
            </w:r>
          </w:p>
        </w:tc>
        <w:tc>
          <w:tcPr>
            <w:tcW w:w="1518" w:type="dxa"/>
            <w:tcBorders>
              <w:top w:val="single" w:color="000000" w:sz="0" w:space="0"/>
              <w:bottom w:val="single" w:color="000000" w:sz="0" w:space="0"/>
              <w:right w:val="single" w:color="000000" w:sz="0" w:space="0"/>
            </w:tcBorders>
          </w:tcPr>
          <w:p w14:paraId="741DAE1A">
            <w:pPr>
              <w:spacing w:after="0" w:line="360" w:lineRule="auto"/>
              <w:rPr>
                <w:rFonts w:hint="default" w:ascii="Arial" w:hAnsi="Arial" w:cs="Arial"/>
              </w:rPr>
            </w:pPr>
            <w:r>
              <w:rPr>
                <w:rFonts w:hint="default" w:ascii="Arial" w:hAnsi="Arial" w:eastAsia="inter" w:cs="Arial"/>
                <w:color w:val="000000"/>
                <w:sz w:val="17"/>
              </w:rPr>
              <w:t>67,882</w:t>
            </w:r>
          </w:p>
        </w:tc>
        <w:tc>
          <w:tcPr>
            <w:tcW w:w="1618" w:type="dxa"/>
            <w:tcBorders>
              <w:top w:val="single" w:color="000000" w:sz="0" w:space="0"/>
              <w:bottom w:val="single" w:color="000000" w:sz="0" w:space="0"/>
            </w:tcBorders>
          </w:tcPr>
          <w:p w14:paraId="472C6AE3">
            <w:pPr>
              <w:spacing w:after="0" w:line="360" w:lineRule="auto"/>
              <w:rPr>
                <w:rFonts w:hint="default" w:ascii="Arial" w:hAnsi="Arial" w:cs="Arial"/>
              </w:rPr>
            </w:pPr>
            <w:r>
              <w:rPr>
                <w:rFonts w:hint="default" w:ascii="Arial" w:hAnsi="Arial" w:eastAsia="inter" w:cs="Arial"/>
                <w:color w:val="000000"/>
                <w:sz w:val="17"/>
              </w:rPr>
              <w:t>622.77</w:t>
            </w:r>
          </w:p>
        </w:tc>
      </w:tr>
      <w:tr w14:paraId="1FDD5FCD">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1ECECFDA">
            <w:pPr>
              <w:spacing w:after="0" w:line="360" w:lineRule="auto"/>
              <w:rPr>
                <w:rFonts w:hint="default" w:ascii="Arial" w:hAnsi="Arial" w:cs="Arial"/>
              </w:rPr>
            </w:pPr>
            <w:r>
              <w:rPr>
                <w:rFonts w:hint="default" w:ascii="Arial" w:hAnsi="Arial" w:eastAsia="inter" w:cs="Arial"/>
                <w:color w:val="000000"/>
                <w:sz w:val="17"/>
              </w:rPr>
              <w:t>Australia</w:t>
            </w:r>
          </w:p>
        </w:tc>
        <w:tc>
          <w:tcPr>
            <w:tcW w:w="923" w:type="dxa"/>
            <w:tcBorders>
              <w:top w:val="single" w:color="000000" w:sz="0" w:space="0"/>
              <w:bottom w:val="single" w:color="000000" w:sz="0" w:space="0"/>
              <w:right w:val="single" w:color="000000" w:sz="0" w:space="0"/>
            </w:tcBorders>
          </w:tcPr>
          <w:p w14:paraId="23E0F1E0">
            <w:pPr>
              <w:spacing w:after="0" w:line="360" w:lineRule="auto"/>
              <w:rPr>
                <w:rFonts w:hint="default" w:ascii="Arial" w:hAnsi="Arial" w:cs="Arial"/>
              </w:rPr>
            </w:pPr>
            <w:r>
              <w:rPr>
                <w:rFonts w:hint="default" w:ascii="Arial" w:hAnsi="Arial" w:eastAsia="inter" w:cs="Arial"/>
                <w:color w:val="000000"/>
                <w:sz w:val="17"/>
              </w:rPr>
              <w:t>160</w:t>
            </w:r>
          </w:p>
        </w:tc>
        <w:tc>
          <w:tcPr>
            <w:tcW w:w="1518" w:type="dxa"/>
            <w:tcBorders>
              <w:top w:val="single" w:color="000000" w:sz="0" w:space="0"/>
              <w:bottom w:val="single" w:color="000000" w:sz="0" w:space="0"/>
              <w:right w:val="single" w:color="000000" w:sz="0" w:space="0"/>
            </w:tcBorders>
          </w:tcPr>
          <w:p w14:paraId="1CDD62D4">
            <w:pPr>
              <w:spacing w:after="0" w:line="360" w:lineRule="auto"/>
              <w:rPr>
                <w:rFonts w:hint="default" w:ascii="Arial" w:hAnsi="Arial" w:cs="Arial"/>
              </w:rPr>
            </w:pPr>
            <w:r>
              <w:rPr>
                <w:rFonts w:hint="default" w:ascii="Arial" w:hAnsi="Arial" w:eastAsia="inter" w:cs="Arial"/>
                <w:color w:val="000000"/>
                <w:sz w:val="17"/>
              </w:rPr>
              <w:t>89,763</w:t>
            </w:r>
          </w:p>
        </w:tc>
        <w:tc>
          <w:tcPr>
            <w:tcW w:w="1618" w:type="dxa"/>
            <w:tcBorders>
              <w:top w:val="single" w:color="000000" w:sz="0" w:space="0"/>
              <w:bottom w:val="single" w:color="000000" w:sz="0" w:space="0"/>
            </w:tcBorders>
          </w:tcPr>
          <w:p w14:paraId="0E7A79C5">
            <w:pPr>
              <w:spacing w:after="0" w:line="360" w:lineRule="auto"/>
              <w:rPr>
                <w:rFonts w:hint="default" w:ascii="Arial" w:hAnsi="Arial" w:cs="Arial"/>
              </w:rPr>
            </w:pPr>
            <w:r>
              <w:rPr>
                <w:rFonts w:hint="default" w:ascii="Arial" w:hAnsi="Arial" w:eastAsia="inter" w:cs="Arial"/>
                <w:color w:val="000000"/>
                <w:sz w:val="17"/>
              </w:rPr>
              <w:t>561.02</w:t>
            </w:r>
          </w:p>
        </w:tc>
      </w:tr>
      <w:tr w14:paraId="53E85984">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6A70EA78">
            <w:pPr>
              <w:spacing w:after="0" w:line="360" w:lineRule="auto"/>
              <w:rPr>
                <w:rFonts w:hint="default" w:ascii="Arial" w:hAnsi="Arial" w:cs="Arial"/>
              </w:rPr>
            </w:pPr>
            <w:r>
              <w:rPr>
                <w:rFonts w:hint="default" w:ascii="Arial" w:hAnsi="Arial" w:eastAsia="inter" w:cs="Arial"/>
                <w:color w:val="000000"/>
                <w:sz w:val="17"/>
              </w:rPr>
              <w:t>Germany</w:t>
            </w:r>
          </w:p>
        </w:tc>
        <w:tc>
          <w:tcPr>
            <w:tcW w:w="923" w:type="dxa"/>
            <w:tcBorders>
              <w:top w:val="single" w:color="000000" w:sz="0" w:space="0"/>
              <w:bottom w:val="single" w:color="000000" w:sz="0" w:space="0"/>
              <w:right w:val="single" w:color="000000" w:sz="0" w:space="0"/>
            </w:tcBorders>
          </w:tcPr>
          <w:p w14:paraId="7D897D0A">
            <w:pPr>
              <w:spacing w:after="0" w:line="360" w:lineRule="auto"/>
              <w:rPr>
                <w:rFonts w:hint="default" w:ascii="Arial" w:hAnsi="Arial" w:cs="Arial"/>
              </w:rPr>
            </w:pPr>
            <w:r>
              <w:rPr>
                <w:rFonts w:hint="default" w:ascii="Arial" w:hAnsi="Arial" w:eastAsia="inter" w:cs="Arial"/>
                <w:color w:val="000000"/>
                <w:sz w:val="17"/>
              </w:rPr>
              <w:t>120</w:t>
            </w:r>
          </w:p>
        </w:tc>
        <w:tc>
          <w:tcPr>
            <w:tcW w:w="1518" w:type="dxa"/>
            <w:tcBorders>
              <w:top w:val="single" w:color="000000" w:sz="0" w:space="0"/>
              <w:bottom w:val="single" w:color="000000" w:sz="0" w:space="0"/>
              <w:right w:val="single" w:color="000000" w:sz="0" w:space="0"/>
            </w:tcBorders>
          </w:tcPr>
          <w:p w14:paraId="0CEDDDBC">
            <w:pPr>
              <w:spacing w:after="0" w:line="360" w:lineRule="auto"/>
              <w:rPr>
                <w:rFonts w:hint="default" w:ascii="Arial" w:hAnsi="Arial" w:cs="Arial"/>
              </w:rPr>
            </w:pPr>
            <w:r>
              <w:rPr>
                <w:rFonts w:hint="default" w:ascii="Arial" w:hAnsi="Arial" w:eastAsia="inter" w:cs="Arial"/>
                <w:color w:val="000000"/>
                <w:sz w:val="17"/>
              </w:rPr>
              <w:t>74,913</w:t>
            </w:r>
          </w:p>
        </w:tc>
        <w:tc>
          <w:tcPr>
            <w:tcW w:w="1618" w:type="dxa"/>
            <w:tcBorders>
              <w:top w:val="single" w:color="000000" w:sz="0" w:space="0"/>
              <w:bottom w:val="single" w:color="000000" w:sz="0" w:space="0"/>
            </w:tcBorders>
          </w:tcPr>
          <w:p w14:paraId="01B036C8">
            <w:pPr>
              <w:spacing w:after="0" w:line="360" w:lineRule="auto"/>
              <w:rPr>
                <w:rFonts w:hint="default" w:ascii="Arial" w:hAnsi="Arial" w:cs="Arial"/>
              </w:rPr>
            </w:pPr>
            <w:r>
              <w:rPr>
                <w:rFonts w:hint="default" w:ascii="Arial" w:hAnsi="Arial" w:eastAsia="inter" w:cs="Arial"/>
                <w:color w:val="000000"/>
                <w:sz w:val="17"/>
              </w:rPr>
              <w:t>624.28</w:t>
            </w:r>
          </w:p>
        </w:tc>
      </w:tr>
      <w:tr w14:paraId="58F1D175">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4C514EEF">
            <w:pPr>
              <w:spacing w:after="0" w:line="360" w:lineRule="auto"/>
              <w:rPr>
                <w:rFonts w:hint="default" w:ascii="Arial" w:hAnsi="Arial" w:cs="Arial"/>
              </w:rPr>
            </w:pPr>
            <w:r>
              <w:rPr>
                <w:rFonts w:hint="default" w:ascii="Arial" w:hAnsi="Arial" w:eastAsia="inter" w:cs="Arial"/>
                <w:color w:val="000000"/>
                <w:sz w:val="17"/>
              </w:rPr>
              <w:t>India</w:t>
            </w:r>
          </w:p>
        </w:tc>
        <w:tc>
          <w:tcPr>
            <w:tcW w:w="923" w:type="dxa"/>
            <w:tcBorders>
              <w:top w:val="single" w:color="000000" w:sz="0" w:space="0"/>
              <w:bottom w:val="single" w:color="000000" w:sz="0" w:space="0"/>
              <w:right w:val="single" w:color="000000" w:sz="0" w:space="0"/>
            </w:tcBorders>
          </w:tcPr>
          <w:p w14:paraId="042A8C25">
            <w:pPr>
              <w:spacing w:after="0" w:line="360" w:lineRule="auto"/>
              <w:rPr>
                <w:rFonts w:hint="default" w:ascii="Arial" w:hAnsi="Arial" w:cs="Arial"/>
              </w:rPr>
            </w:pPr>
            <w:r>
              <w:rPr>
                <w:rFonts w:hint="default" w:ascii="Arial" w:hAnsi="Arial" w:eastAsia="inter" w:cs="Arial"/>
                <w:color w:val="000000"/>
                <w:sz w:val="17"/>
              </w:rPr>
              <w:t>147</w:t>
            </w:r>
          </w:p>
        </w:tc>
        <w:tc>
          <w:tcPr>
            <w:tcW w:w="1518" w:type="dxa"/>
            <w:tcBorders>
              <w:top w:val="single" w:color="000000" w:sz="0" w:space="0"/>
              <w:bottom w:val="single" w:color="000000" w:sz="0" w:space="0"/>
              <w:right w:val="single" w:color="000000" w:sz="0" w:space="0"/>
            </w:tcBorders>
          </w:tcPr>
          <w:p w14:paraId="58476BA1">
            <w:pPr>
              <w:spacing w:after="0" w:line="360" w:lineRule="auto"/>
              <w:rPr>
                <w:rFonts w:hint="default" w:ascii="Arial" w:hAnsi="Arial" w:cs="Arial"/>
              </w:rPr>
            </w:pPr>
            <w:r>
              <w:rPr>
                <w:rFonts w:hint="default" w:ascii="Arial" w:hAnsi="Arial" w:eastAsia="inter" w:cs="Arial"/>
                <w:color w:val="000000"/>
                <w:sz w:val="17"/>
              </w:rPr>
              <w:t>79,420</w:t>
            </w:r>
          </w:p>
        </w:tc>
        <w:tc>
          <w:tcPr>
            <w:tcW w:w="1618" w:type="dxa"/>
            <w:tcBorders>
              <w:top w:val="single" w:color="000000" w:sz="0" w:space="0"/>
              <w:bottom w:val="single" w:color="000000" w:sz="0" w:space="0"/>
            </w:tcBorders>
          </w:tcPr>
          <w:p w14:paraId="602A1872">
            <w:pPr>
              <w:spacing w:after="0" w:line="360" w:lineRule="auto"/>
              <w:rPr>
                <w:rFonts w:hint="default" w:ascii="Arial" w:hAnsi="Arial" w:cs="Arial"/>
              </w:rPr>
            </w:pPr>
            <w:r>
              <w:rPr>
                <w:rFonts w:hint="default" w:ascii="Arial" w:hAnsi="Arial" w:eastAsia="inter" w:cs="Arial"/>
                <w:color w:val="000000"/>
                <w:sz w:val="17"/>
              </w:rPr>
              <w:t>540.27</w:t>
            </w:r>
          </w:p>
        </w:tc>
      </w:tr>
      <w:tr w14:paraId="32C21CE4">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1036F603">
            <w:pPr>
              <w:spacing w:after="0" w:line="360" w:lineRule="auto"/>
              <w:rPr>
                <w:rFonts w:hint="default" w:ascii="Arial" w:hAnsi="Arial" w:cs="Arial"/>
              </w:rPr>
            </w:pPr>
            <w:r>
              <w:rPr>
                <w:rFonts w:hint="default" w:ascii="Arial" w:hAnsi="Arial" w:eastAsia="inter" w:cs="Arial"/>
                <w:color w:val="000000"/>
                <w:sz w:val="17"/>
              </w:rPr>
              <w:t>Mexico</w:t>
            </w:r>
          </w:p>
        </w:tc>
        <w:tc>
          <w:tcPr>
            <w:tcW w:w="923" w:type="dxa"/>
            <w:tcBorders>
              <w:top w:val="single" w:color="000000" w:sz="0" w:space="0"/>
              <w:bottom w:val="single" w:color="000000" w:sz="0" w:space="0"/>
              <w:right w:val="single" w:color="000000" w:sz="0" w:space="0"/>
            </w:tcBorders>
          </w:tcPr>
          <w:p w14:paraId="56056C7A">
            <w:pPr>
              <w:spacing w:after="0" w:line="360" w:lineRule="auto"/>
              <w:rPr>
                <w:rFonts w:hint="default" w:ascii="Arial" w:hAnsi="Arial" w:cs="Arial"/>
              </w:rPr>
            </w:pPr>
            <w:r>
              <w:rPr>
                <w:rFonts w:hint="default" w:ascii="Arial" w:hAnsi="Arial" w:eastAsia="inter" w:cs="Arial"/>
                <w:color w:val="000000"/>
                <w:sz w:val="17"/>
              </w:rPr>
              <w:t>3</w:t>
            </w:r>
          </w:p>
        </w:tc>
        <w:tc>
          <w:tcPr>
            <w:tcW w:w="1518" w:type="dxa"/>
            <w:tcBorders>
              <w:top w:val="single" w:color="000000" w:sz="0" w:space="0"/>
              <w:bottom w:val="single" w:color="000000" w:sz="0" w:space="0"/>
              <w:right w:val="single" w:color="000000" w:sz="0" w:space="0"/>
            </w:tcBorders>
          </w:tcPr>
          <w:p w14:paraId="4640E400">
            <w:pPr>
              <w:spacing w:after="0" w:line="360" w:lineRule="auto"/>
              <w:rPr>
                <w:rFonts w:hint="default" w:ascii="Arial" w:hAnsi="Arial" w:cs="Arial"/>
              </w:rPr>
            </w:pPr>
            <w:r>
              <w:rPr>
                <w:rFonts w:hint="default" w:ascii="Arial" w:hAnsi="Arial" w:eastAsia="inter" w:cs="Arial"/>
                <w:color w:val="000000"/>
                <w:sz w:val="17"/>
              </w:rPr>
              <w:t>3,122</w:t>
            </w:r>
          </w:p>
        </w:tc>
        <w:tc>
          <w:tcPr>
            <w:tcW w:w="1618" w:type="dxa"/>
            <w:tcBorders>
              <w:top w:val="single" w:color="000000" w:sz="0" w:space="0"/>
              <w:bottom w:val="single" w:color="000000" w:sz="0" w:space="0"/>
            </w:tcBorders>
          </w:tcPr>
          <w:p w14:paraId="03F2D82E">
            <w:pPr>
              <w:spacing w:after="0" w:line="360" w:lineRule="auto"/>
              <w:rPr>
                <w:rFonts w:hint="default" w:ascii="Arial" w:hAnsi="Arial" w:cs="Arial"/>
              </w:rPr>
            </w:pPr>
            <w:r>
              <w:rPr>
                <w:rFonts w:hint="default" w:ascii="Arial" w:hAnsi="Arial" w:eastAsia="inter" w:cs="Arial"/>
                <w:color w:val="000000"/>
                <w:sz w:val="17"/>
              </w:rPr>
              <w:t>1,040.67</w:t>
            </w:r>
          </w:p>
        </w:tc>
      </w:tr>
    </w:tbl>
    <w:p w14:paraId="2A4C05FE">
      <w:pPr>
        <w:rPr>
          <w:rFonts w:hint="default" w:ascii="Arial" w:hAnsi="Arial" w:cs="Arial"/>
        </w:rPr>
      </w:pPr>
    </w:p>
    <w:p w14:paraId="5A6146D7">
      <w:pPr>
        <w:numPr>
          <w:ilvl w:val="0"/>
          <w:numId w:val="6"/>
        </w:numPr>
        <w:spacing w:before="105" w:after="105" w:line="360" w:lineRule="auto"/>
        <w:rPr>
          <w:rFonts w:hint="default" w:ascii="Arial" w:hAnsi="Arial" w:cs="Arial"/>
        </w:rPr>
      </w:pPr>
      <w:r>
        <w:rPr>
          <w:rFonts w:hint="default" w:ascii="Arial" w:hAnsi="Arial" w:eastAsia="inter" w:cs="Arial"/>
          <w:b/>
          <w:color w:val="000000"/>
          <w:sz w:val="21"/>
        </w:rPr>
        <w:t>Spain</w:t>
      </w:r>
      <w:r>
        <w:rPr>
          <w:rFonts w:hint="default" w:ascii="Arial" w:hAnsi="Arial" w:eastAsia="inter" w:cs="Arial"/>
          <w:color w:val="000000"/>
          <w:sz w:val="21"/>
        </w:rPr>
        <w:t xml:space="preserve"> and </w:t>
      </w:r>
      <w:r>
        <w:rPr>
          <w:rFonts w:hint="default" w:ascii="Arial" w:hAnsi="Arial" w:eastAsia="inter" w:cs="Arial"/>
          <w:b/>
          <w:color w:val="000000"/>
          <w:sz w:val="21"/>
        </w:rPr>
        <w:t>Saudi Arabia</w:t>
      </w:r>
      <w:r>
        <w:rPr>
          <w:rFonts w:hint="default" w:ascii="Arial" w:hAnsi="Arial" w:eastAsia="inter" w:cs="Arial"/>
          <w:color w:val="000000"/>
          <w:sz w:val="21"/>
        </w:rPr>
        <w:t xml:space="preserve"> dominate total spend, while </w:t>
      </w:r>
      <w:r>
        <w:rPr>
          <w:rFonts w:hint="default" w:ascii="Arial" w:hAnsi="Arial" w:eastAsia="inter" w:cs="Arial"/>
          <w:b/>
          <w:color w:val="000000"/>
          <w:sz w:val="21"/>
        </w:rPr>
        <w:t>Mexico’s</w:t>
      </w:r>
      <w:r>
        <w:rPr>
          <w:rFonts w:hint="default" w:ascii="Arial" w:hAnsi="Arial" w:eastAsia="inter" w:cs="Arial"/>
          <w:color w:val="000000"/>
          <w:sz w:val="21"/>
        </w:rPr>
        <w:t xml:space="preserve"> small sample shows exceptional average spend but requires volume increase.</w:t>
      </w:r>
      <w:bookmarkStart w:id="6" w:name="fnref3:1"/>
      <w:bookmarkEnd w:id="6"/>
    </w:p>
    <w:p w14:paraId="08F6716B">
      <w:pPr>
        <w:numPr>
          <w:numId w:val="0"/>
        </w:numPr>
        <w:tabs>
          <w:tab w:val="left" w:pos="900"/>
        </w:tabs>
        <w:spacing w:before="105" w:after="105" w:line="360" w:lineRule="auto"/>
        <w:rPr>
          <w:rFonts w:hint="default" w:ascii="Arial" w:hAnsi="Arial" w:eastAsia="inter" w:cs="Arial"/>
          <w:color w:val="000000"/>
          <w:sz w:val="21"/>
        </w:rPr>
      </w:pPr>
    </w:p>
    <w:p w14:paraId="1444590E">
      <w:pPr>
        <w:numPr>
          <w:numId w:val="0"/>
        </w:numPr>
        <w:tabs>
          <w:tab w:val="left" w:pos="900"/>
        </w:tabs>
        <w:spacing w:before="105" w:after="105" w:line="360" w:lineRule="auto"/>
        <w:rPr>
          <w:rFonts w:hint="default" w:ascii="Arial" w:hAnsi="Arial" w:eastAsia="inter" w:cs="Arial"/>
          <w:color w:val="000000"/>
          <w:sz w:val="21"/>
        </w:rPr>
      </w:pPr>
    </w:p>
    <w:p w14:paraId="0C4BC6EC">
      <w:pPr>
        <w:spacing w:before="315" w:after="105" w:line="360" w:lineRule="auto"/>
        <w:ind w:left="-30"/>
        <w:jc w:val="left"/>
        <w:rPr>
          <w:rFonts w:hint="default" w:ascii="Arial" w:hAnsi="Arial" w:cs="Arial"/>
        </w:rPr>
      </w:pPr>
      <w:r>
        <w:rPr>
          <w:rFonts w:hint="default" w:ascii="Arial" w:hAnsi="Arial" w:eastAsia="inter" w:cs="Arial"/>
          <w:b/>
          <w:color w:val="000000"/>
          <w:sz w:val="24"/>
        </w:rPr>
        <w:t>4.4 Age-Group Spend Insights</w:t>
      </w:r>
    </w:p>
    <w:p w14:paraId="788E701D">
      <w:pPr>
        <w:numPr>
          <w:ilvl w:val="0"/>
          <w:numId w:val="7"/>
        </w:numPr>
        <w:spacing w:after="210" w:line="360" w:lineRule="auto"/>
        <w:rPr>
          <w:rFonts w:hint="default" w:ascii="Arial" w:hAnsi="Arial" w:cs="Arial"/>
        </w:rPr>
      </w:pPr>
      <w:r>
        <w:rPr>
          <w:rFonts w:hint="default" w:ascii="Arial" w:hAnsi="Arial" w:eastAsia="inter" w:cs="Arial"/>
          <w:b/>
          <w:color w:val="000000"/>
          <w:sz w:val="21"/>
        </w:rPr>
        <w:t>50–64</w:t>
      </w:r>
      <w:r>
        <w:rPr>
          <w:rFonts w:hint="default" w:ascii="Arial" w:hAnsi="Arial" w:eastAsia="inter" w:cs="Arial"/>
          <w:color w:val="000000"/>
          <w:sz w:val="21"/>
        </w:rPr>
        <w:t>: ₹539,504</w:t>
      </w:r>
    </w:p>
    <w:p w14:paraId="68C62691">
      <w:pPr>
        <w:numPr>
          <w:ilvl w:val="0"/>
          <w:numId w:val="7"/>
        </w:numPr>
        <w:spacing w:after="210" w:line="360" w:lineRule="auto"/>
        <w:rPr>
          <w:rFonts w:hint="default" w:ascii="Arial" w:hAnsi="Arial" w:cs="Arial"/>
        </w:rPr>
      </w:pPr>
      <w:r>
        <w:rPr>
          <w:rFonts w:hint="default" w:ascii="Arial" w:hAnsi="Arial" w:eastAsia="inter" w:cs="Arial"/>
          <w:b/>
          <w:color w:val="000000"/>
          <w:sz w:val="21"/>
        </w:rPr>
        <w:t>65+</w:t>
      </w:r>
      <w:r>
        <w:rPr>
          <w:rFonts w:hint="default" w:ascii="Arial" w:hAnsi="Arial" w:eastAsia="inter" w:cs="Arial"/>
          <w:color w:val="000000"/>
          <w:sz w:val="21"/>
        </w:rPr>
        <w:t>: ₹439,557</w:t>
      </w:r>
    </w:p>
    <w:p w14:paraId="6FD5D85B">
      <w:pPr>
        <w:numPr>
          <w:ilvl w:val="0"/>
          <w:numId w:val="7"/>
        </w:numPr>
        <w:spacing w:after="210" w:line="360" w:lineRule="auto"/>
        <w:rPr>
          <w:rFonts w:hint="default" w:ascii="Arial" w:hAnsi="Arial" w:cs="Arial"/>
        </w:rPr>
      </w:pPr>
      <w:r>
        <w:rPr>
          <w:rFonts w:hint="default" w:ascii="Arial" w:hAnsi="Arial" w:eastAsia="inter" w:cs="Arial"/>
          <w:b/>
          <w:color w:val="000000"/>
          <w:sz w:val="21"/>
        </w:rPr>
        <w:t>35–49</w:t>
      </w:r>
      <w:r>
        <w:rPr>
          <w:rFonts w:hint="default" w:ascii="Arial" w:hAnsi="Arial" w:eastAsia="inter" w:cs="Arial"/>
          <w:color w:val="000000"/>
          <w:sz w:val="21"/>
        </w:rPr>
        <w:t>: ₹336,118</w:t>
      </w:r>
    </w:p>
    <w:p w14:paraId="76C128E8">
      <w:pPr>
        <w:numPr>
          <w:ilvl w:val="0"/>
          <w:numId w:val="7"/>
        </w:numPr>
        <w:spacing w:after="210" w:line="360" w:lineRule="auto"/>
        <w:rPr>
          <w:rFonts w:hint="default" w:ascii="Arial" w:hAnsi="Arial" w:cs="Arial"/>
        </w:rPr>
      </w:pPr>
      <w:r>
        <w:rPr>
          <w:rFonts w:hint="default" w:ascii="Arial" w:hAnsi="Arial" w:eastAsia="inter" w:cs="Arial"/>
          <w:b/>
          <w:color w:val="000000"/>
          <w:sz w:val="21"/>
        </w:rPr>
        <w:t>25–34</w:t>
      </w:r>
      <w:r>
        <w:rPr>
          <w:rFonts w:hint="default" w:ascii="Arial" w:hAnsi="Arial" w:eastAsia="inter" w:cs="Arial"/>
          <w:color w:val="000000"/>
          <w:sz w:val="21"/>
        </w:rPr>
        <w:t>: ₹39,869</w:t>
      </w:r>
    </w:p>
    <w:p w14:paraId="53190100">
      <w:pPr>
        <w:numPr>
          <w:ilvl w:val="0"/>
          <w:numId w:val="7"/>
        </w:numPr>
        <w:spacing w:after="210" w:line="360" w:lineRule="auto"/>
        <w:rPr>
          <w:rFonts w:hint="default" w:ascii="Arial" w:hAnsi="Arial" w:cs="Arial"/>
        </w:rPr>
      </w:pPr>
      <w:r>
        <w:rPr>
          <w:rFonts w:hint="default" w:ascii="Arial" w:hAnsi="Arial" w:eastAsia="inter" w:cs="Arial"/>
          <w:b/>
          <w:color w:val="000000"/>
          <w:sz w:val="21"/>
        </w:rPr>
        <w:t>Under 25</w:t>
      </w:r>
      <w:r>
        <w:rPr>
          <w:rFonts w:hint="default" w:ascii="Arial" w:hAnsi="Arial" w:eastAsia="inter" w:cs="Arial"/>
          <w:color w:val="000000"/>
          <w:sz w:val="21"/>
        </w:rPr>
        <w:t>: negligible</w:t>
      </w:r>
    </w:p>
    <w:p w14:paraId="69790904">
      <w:pPr>
        <w:numPr>
          <w:ilvl w:val="0"/>
          <w:numId w:val="7"/>
        </w:numPr>
        <w:spacing w:after="210" w:line="360" w:lineRule="auto"/>
        <w:rPr>
          <w:rFonts w:hint="default" w:ascii="Arial" w:hAnsi="Arial" w:cs="Arial"/>
        </w:rPr>
      </w:pPr>
      <w:r>
        <w:rPr>
          <w:rFonts w:hint="default" w:ascii="Arial" w:hAnsi="Arial" w:eastAsia="inter" w:cs="Arial"/>
          <w:color w:val="000000"/>
          <w:sz w:val="21"/>
        </w:rPr>
        <w:t>Mature age cohorts (50–64, 65+) represent the highest aggregate spend, suggesting loyalty and higher purchasing power.</w:t>
      </w:r>
    </w:p>
    <w:p w14:paraId="38CD8DAC">
      <w:pPr>
        <w:spacing w:before="210" w:after="0" w:line="360" w:lineRule="auto"/>
        <w:rPr>
          <w:rFonts w:hint="default" w:ascii="Arial" w:hAnsi="Arial" w:cs="Arial"/>
        </w:rPr>
      </w:pPr>
      <w:r>
        <w:rPr>
          <w:rFonts w:hint="default" w:ascii="Arial" w:hAnsi="Arial" w:cs="Arial"/>
        </w:rPr>
        <w:pict>
          <v:rect id="_x0000_s1029" o:spid="_x0000_s1029" o:spt="1" style="height:0.05pt;width:475.5pt;" coordsize="21600,21600">
            <v:path/>
            <v:fill focussize="0,0"/>
            <v:stroke weight="1pt" color="#000000" opacity="0f"/>
            <v:imagedata o:title=""/>
            <o:lock v:ext="edit"/>
            <w10:wrap type="none"/>
            <w10:anchorlock/>
          </v:rect>
        </w:pict>
      </w:r>
    </w:p>
    <w:p w14:paraId="263168D4">
      <w:pPr>
        <w:numPr>
          <w:ilvl w:val="0"/>
          <w:numId w:val="8"/>
        </w:numPr>
        <w:spacing w:before="315" w:after="105" w:line="480" w:lineRule="auto"/>
        <w:ind w:left="-30"/>
        <w:jc w:val="left"/>
        <w:rPr>
          <w:rFonts w:hint="default" w:ascii="Arial" w:hAnsi="Arial" w:eastAsia="inter" w:cs="Arial"/>
          <w:b/>
          <w:color w:val="000000"/>
          <w:sz w:val="28"/>
          <w:szCs w:val="28"/>
        </w:rPr>
      </w:pPr>
      <w:r>
        <w:rPr>
          <w:rFonts w:hint="default" w:ascii="Arial" w:hAnsi="Arial" w:eastAsia="inter" w:cs="Arial"/>
          <w:b/>
          <w:color w:val="000000"/>
          <w:sz w:val="28"/>
          <w:szCs w:val="28"/>
        </w:rPr>
        <w:t>Business Questions and Strategic Answers</w:t>
      </w:r>
    </w:p>
    <w:p w14:paraId="7C1F823C">
      <w:pPr>
        <w:spacing w:after="210" w:line="360" w:lineRule="auto"/>
        <w:rPr>
          <w:rFonts w:hint="default" w:ascii="Arial" w:hAnsi="Arial" w:cs="Arial"/>
        </w:rPr>
      </w:pPr>
      <w:r>
        <w:rPr>
          <w:rFonts w:hint="default" w:ascii="Arial" w:hAnsi="Arial" w:eastAsia="inter" w:cs="Arial"/>
          <w:b/>
          <w:color w:val="000000"/>
        </w:rPr>
        <w:t>Q1. Which customer segment should receive the highest marketing investment?</w:t>
      </w:r>
      <w:r>
        <w:rPr>
          <w:rFonts w:hint="default" w:ascii="Arial" w:hAnsi="Arial" w:eastAsia="inter" w:cs="Arial"/>
          <w:color w:val="000000"/>
        </w:rPr>
        <w:br w:type="textWrapping"/>
      </w:r>
      <w:r>
        <w:rPr>
          <w:rFonts w:hint="default" w:ascii="Arial" w:hAnsi="Arial" w:eastAsia="inter" w:cs="Arial"/>
          <w:color w:val="000000"/>
        </w:rPr>
        <w:t xml:space="preserve">A1. </w:t>
      </w:r>
      <w:r>
        <w:rPr>
          <w:rFonts w:hint="default" w:ascii="Arial" w:hAnsi="Arial" w:eastAsia="inter" w:cs="Arial"/>
          <w:b/>
          <w:color w:val="000000"/>
        </w:rPr>
        <w:t>High Income</w:t>
      </w:r>
      <w:r>
        <w:rPr>
          <w:rFonts w:hint="default" w:ascii="Arial" w:hAnsi="Arial" w:eastAsia="inter" w:cs="Arial"/>
          <w:color w:val="000000"/>
        </w:rPr>
        <w:t xml:space="preserve"> segment, due to its dominant total spend (~82% of revenue) and strong responsiveness.</w:t>
      </w:r>
    </w:p>
    <w:p w14:paraId="2DB206EF">
      <w:pPr>
        <w:spacing w:after="210" w:line="360" w:lineRule="auto"/>
        <w:rPr>
          <w:rFonts w:hint="default" w:ascii="Arial" w:hAnsi="Arial" w:cs="Arial"/>
        </w:rPr>
      </w:pPr>
      <w:r>
        <w:rPr>
          <w:rFonts w:hint="default" w:ascii="Arial" w:hAnsi="Arial" w:eastAsia="inter" w:cs="Arial"/>
          <w:b/>
          <w:color w:val="000000"/>
        </w:rPr>
        <w:t>Q2. How can underperforming campaigns be improved?</w:t>
      </w:r>
      <w:r>
        <w:rPr>
          <w:rFonts w:hint="default" w:ascii="Arial" w:hAnsi="Arial" w:eastAsia="inter" w:cs="Arial"/>
          <w:color w:val="000000"/>
        </w:rPr>
        <w:br w:type="textWrapping"/>
      </w:r>
      <w:r>
        <w:rPr>
          <w:rFonts w:hint="default" w:ascii="Arial" w:hAnsi="Arial" w:eastAsia="inter" w:cs="Arial"/>
          <w:color w:val="000000"/>
        </w:rPr>
        <w:t xml:space="preserve">A2. Revise targeting or creative for </w:t>
      </w:r>
      <w:r>
        <w:rPr>
          <w:rFonts w:hint="default" w:ascii="Arial" w:hAnsi="Arial" w:eastAsia="inter" w:cs="Arial"/>
          <w:b/>
          <w:color w:val="000000"/>
        </w:rPr>
        <w:t>Campaign 2</w:t>
      </w:r>
      <w:r>
        <w:rPr>
          <w:rFonts w:hint="default" w:ascii="Arial" w:hAnsi="Arial" w:eastAsia="inter" w:cs="Arial"/>
          <w:color w:val="000000"/>
        </w:rPr>
        <w:t>, which shows 1.34% conversion, by analyzing demographic uptake and offer proposition.</w:t>
      </w:r>
    </w:p>
    <w:p w14:paraId="0860EB83">
      <w:pPr>
        <w:spacing w:after="210" w:line="360" w:lineRule="auto"/>
        <w:rPr>
          <w:rFonts w:hint="default" w:ascii="Arial" w:hAnsi="Arial" w:cs="Arial"/>
        </w:rPr>
      </w:pPr>
      <w:r>
        <w:rPr>
          <w:rFonts w:hint="default" w:ascii="Arial" w:hAnsi="Arial" w:eastAsia="inter" w:cs="Arial"/>
          <w:b/>
          <w:color w:val="000000"/>
        </w:rPr>
        <w:t>Q3. What channels yield the greatest ROI?</w:t>
      </w:r>
      <w:r>
        <w:rPr>
          <w:rFonts w:hint="default" w:ascii="Arial" w:hAnsi="Arial" w:eastAsia="inter" w:cs="Arial"/>
          <w:color w:val="000000"/>
        </w:rPr>
        <w:br w:type="textWrapping"/>
      </w:r>
      <w:r>
        <w:rPr>
          <w:rFonts w:hint="default" w:ascii="Arial" w:hAnsi="Arial" w:eastAsia="inter" w:cs="Arial"/>
          <w:color w:val="000000"/>
        </w:rPr>
        <w:t xml:space="preserve">A3. </w:t>
      </w:r>
      <w:r>
        <w:rPr>
          <w:rFonts w:hint="default" w:ascii="Arial" w:hAnsi="Arial" w:eastAsia="inter" w:cs="Arial"/>
          <w:b/>
          <w:color w:val="000000"/>
        </w:rPr>
        <w:t>Web</w:t>
      </w:r>
      <w:r>
        <w:rPr>
          <w:rFonts w:hint="default" w:ascii="Arial" w:hAnsi="Arial" w:eastAsia="inter" w:cs="Arial"/>
          <w:color w:val="000000"/>
        </w:rPr>
        <w:t xml:space="preserve"> (25.08%) and </w:t>
      </w:r>
      <w:r>
        <w:rPr>
          <w:rFonts w:hint="default" w:ascii="Arial" w:hAnsi="Arial" w:eastAsia="inter" w:cs="Arial"/>
          <w:b/>
          <w:color w:val="000000"/>
        </w:rPr>
        <w:t>Catalog</w:t>
      </w:r>
      <w:r>
        <w:rPr>
          <w:rFonts w:hint="default" w:ascii="Arial" w:hAnsi="Arial" w:eastAsia="inter" w:cs="Arial"/>
          <w:color w:val="000000"/>
        </w:rPr>
        <w:t xml:space="preserve"> (24.47%) channels outperform others—shift budget from lower-performing channels accordingly.</w:t>
      </w:r>
    </w:p>
    <w:p w14:paraId="31C11DAB">
      <w:pPr>
        <w:spacing w:after="210" w:line="360" w:lineRule="auto"/>
        <w:rPr>
          <w:rFonts w:hint="default" w:ascii="Arial" w:hAnsi="Arial" w:cs="Arial"/>
        </w:rPr>
      </w:pPr>
      <w:r>
        <w:rPr>
          <w:rFonts w:hint="default" w:ascii="Arial" w:hAnsi="Arial" w:eastAsia="inter" w:cs="Arial"/>
          <w:b/>
          <w:color w:val="000000"/>
        </w:rPr>
        <w:t>Q4. Which markets offer expansion potential?</w:t>
      </w:r>
      <w:r>
        <w:rPr>
          <w:rFonts w:hint="default" w:ascii="Arial" w:hAnsi="Arial" w:eastAsia="inter" w:cs="Arial"/>
          <w:color w:val="000000"/>
        </w:rPr>
        <w:br w:type="textWrapping"/>
      </w:r>
      <w:r>
        <w:rPr>
          <w:rFonts w:hint="default" w:ascii="Arial" w:hAnsi="Arial" w:eastAsia="inter" w:cs="Arial"/>
          <w:color w:val="000000"/>
        </w:rPr>
        <w:t xml:space="preserve">A4. </w:t>
      </w:r>
      <w:r>
        <w:rPr>
          <w:rFonts w:hint="default" w:ascii="Arial" w:hAnsi="Arial" w:eastAsia="inter" w:cs="Arial"/>
          <w:b/>
          <w:color w:val="000000"/>
        </w:rPr>
        <w:t>Mexico</w:t>
      </w:r>
      <w:r>
        <w:rPr>
          <w:rFonts w:hint="default" w:ascii="Arial" w:hAnsi="Arial" w:eastAsia="inter" w:cs="Arial"/>
          <w:color w:val="000000"/>
        </w:rPr>
        <w:t>, despite low volume, has the highest average spend (₹1,040). Invest in customer acquisition to scale this market.</w:t>
      </w:r>
    </w:p>
    <w:p w14:paraId="0D8796AC">
      <w:pPr>
        <w:spacing w:after="210" w:line="360" w:lineRule="auto"/>
        <w:rPr>
          <w:rFonts w:hint="default" w:ascii="Arial" w:hAnsi="Arial" w:cs="Arial"/>
        </w:rPr>
      </w:pPr>
      <w:r>
        <w:rPr>
          <w:rFonts w:hint="default" w:ascii="Arial" w:hAnsi="Arial" w:eastAsia="inter" w:cs="Arial"/>
          <w:b/>
          <w:color w:val="000000"/>
        </w:rPr>
        <w:t>Q5. How to prevent churn among high-value customers?</w:t>
      </w:r>
      <w:r>
        <w:rPr>
          <w:rFonts w:hint="default" w:ascii="Arial" w:hAnsi="Arial" w:eastAsia="inter" w:cs="Arial"/>
          <w:color w:val="000000"/>
        </w:rPr>
        <w:br w:type="textWrapping"/>
      </w:r>
      <w:r>
        <w:rPr>
          <w:rFonts w:hint="default" w:ascii="Arial" w:hAnsi="Arial" w:eastAsia="inter" w:cs="Arial"/>
          <w:color w:val="000000"/>
        </w:rPr>
        <w:t xml:space="preserve">A5. Implement exclusive loyalty and re-engagement campaigns for </w:t>
      </w:r>
      <w:r>
        <w:rPr>
          <w:rFonts w:hint="default" w:ascii="Arial" w:hAnsi="Arial" w:eastAsia="inter" w:cs="Arial"/>
          <w:b/>
          <w:color w:val="000000"/>
        </w:rPr>
        <w:t>Premium Income</w:t>
      </w:r>
      <w:r>
        <w:rPr>
          <w:rFonts w:hint="default" w:ascii="Arial" w:hAnsi="Arial" w:eastAsia="inter" w:cs="Arial"/>
          <w:color w:val="000000"/>
        </w:rPr>
        <w:t xml:space="preserve"> customers, who exhibit high spend but average recency similar to other segments.</w:t>
      </w:r>
    </w:p>
    <w:p w14:paraId="51EA3E4F">
      <w:pPr>
        <w:spacing w:before="210" w:after="0" w:line="360" w:lineRule="auto"/>
        <w:rPr>
          <w:rFonts w:hint="default" w:ascii="Arial" w:hAnsi="Arial" w:cs="Arial"/>
        </w:rPr>
      </w:pPr>
      <w:r>
        <w:rPr>
          <w:rFonts w:hint="default" w:ascii="Arial" w:hAnsi="Arial" w:cs="Arial"/>
        </w:rPr>
        <w:pict>
          <v:rect id="_x0000_s1031" o:spid="_x0000_s1031" o:spt="1" style="height:0.05pt;width:475.5pt;" coordsize="21600,21600">
            <v:path/>
            <v:fill focussize="0,0"/>
            <v:stroke weight="1pt" color="#000000" opacity="0f"/>
            <v:imagedata o:title=""/>
            <o:lock v:ext="edit"/>
            <w10:wrap type="none"/>
            <w10:anchorlock/>
          </v:rect>
        </w:pict>
      </w:r>
    </w:p>
    <w:p w14:paraId="67074950">
      <w:pPr>
        <w:spacing w:after="210" w:line="360" w:lineRule="auto"/>
        <w:rPr>
          <w:rFonts w:hint="default" w:ascii="Arial" w:hAnsi="Arial" w:cs="Arial"/>
        </w:rPr>
      </w:pPr>
      <w:r>
        <w:rPr>
          <w:rFonts w:hint="default" w:ascii="Arial" w:hAnsi="Arial" w:eastAsia="inter" w:cs="Arial"/>
          <w:color w:val="000000"/>
        </w:rPr>
        <w:t>This comprehensive report leverages granular Alteryx-derived insights and Power BI visualizations to guide strategic marketing investments, enhance campaign performance, and drive sustained revenue growth.</w:t>
      </w:r>
    </w:p>
    <w:p w14:paraId="52958666">
      <w:pPr>
        <w:numPr>
          <w:numId w:val="0"/>
        </w:numPr>
        <w:spacing w:after="210" w:line="360" w:lineRule="auto"/>
        <w:rPr>
          <w:rFonts w:hint="default" w:ascii="Arial" w:hAnsi="Arial" w:cs="Arial"/>
        </w:rPr>
      </w:pPr>
    </w:p>
    <w:sectPr>
      <w:pgSz w:w="12240" w:h="15840"/>
      <w:pgMar w:top="1365" w:right="1365" w:bottom="1365" w:left="1365"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inter">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ibm plex mono">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singleLevel"/>
    <w:tmpl w:val="B5E306ED"/>
    <w:lvl w:ilvl="0" w:tentative="0">
      <w:start w:val="1"/>
      <w:numFmt w:val="bullet"/>
      <w:lvlText w:val=""/>
      <w:lvlJc w:val="left"/>
      <w:pPr>
        <w:tabs>
          <w:tab w:val="left" w:pos="900"/>
        </w:tabs>
        <w:ind w:left="540" w:hanging="360"/>
      </w:pPr>
      <w:rPr>
        <w:rFonts w:hint="default" w:ascii="Symbol" w:hAnsi="Symbol"/>
      </w:rPr>
    </w:lvl>
  </w:abstractNum>
  <w:abstractNum w:abstractNumId="1">
    <w:nsid w:val="BF205925"/>
    <w:multiLevelType w:val="singleLevel"/>
    <w:tmpl w:val="BF205925"/>
    <w:lvl w:ilvl="0" w:tentative="0">
      <w:start w:val="1"/>
      <w:numFmt w:val="bullet"/>
      <w:lvlText w:val=""/>
      <w:lvlJc w:val="left"/>
      <w:pPr>
        <w:tabs>
          <w:tab w:val="left" w:pos="900"/>
        </w:tabs>
        <w:ind w:left="540" w:hanging="360"/>
      </w:pPr>
      <w:rPr>
        <w:rFonts w:hint="default" w:ascii="Symbol" w:hAnsi="Symbol"/>
      </w:rPr>
    </w:lvl>
  </w:abstractNum>
  <w:abstractNum w:abstractNumId="2">
    <w:nsid w:val="CF092B84"/>
    <w:multiLevelType w:val="singleLevel"/>
    <w:tmpl w:val="CF092B84"/>
    <w:lvl w:ilvl="0" w:tentative="0">
      <w:start w:val="1"/>
      <w:numFmt w:val="bullet"/>
      <w:lvlText w:val=""/>
      <w:lvlJc w:val="left"/>
      <w:pPr>
        <w:tabs>
          <w:tab w:val="left" w:pos="900"/>
        </w:tabs>
        <w:ind w:left="540" w:hanging="360"/>
      </w:pPr>
      <w:rPr>
        <w:rFonts w:hint="default" w:ascii="Symbol" w:hAnsi="Symbol"/>
      </w:rPr>
    </w:lvl>
  </w:abstractNum>
  <w:abstractNum w:abstractNumId="3">
    <w:nsid w:val="0053208E"/>
    <w:multiLevelType w:val="singleLevel"/>
    <w:tmpl w:val="0053208E"/>
    <w:lvl w:ilvl="0" w:tentative="0">
      <w:start w:val="1"/>
      <w:numFmt w:val="bullet"/>
      <w:lvlText w:val=""/>
      <w:lvlJc w:val="left"/>
      <w:pPr>
        <w:tabs>
          <w:tab w:val="left" w:pos="900"/>
        </w:tabs>
        <w:ind w:left="540" w:hanging="360"/>
      </w:pPr>
      <w:rPr>
        <w:rFonts w:hint="default" w:ascii="Symbol" w:hAnsi="Symbol"/>
      </w:rPr>
    </w:lvl>
  </w:abstractNum>
  <w:abstractNum w:abstractNumId="4">
    <w:nsid w:val="03D62ECE"/>
    <w:multiLevelType w:val="singleLevel"/>
    <w:tmpl w:val="03D62ECE"/>
    <w:lvl w:ilvl="0" w:tentative="0">
      <w:start w:val="1"/>
      <w:numFmt w:val="bullet"/>
      <w:lvlText w:val=""/>
      <w:lvlJc w:val="left"/>
      <w:pPr>
        <w:tabs>
          <w:tab w:val="left" w:pos="900"/>
        </w:tabs>
        <w:ind w:left="540" w:hanging="360"/>
      </w:pPr>
      <w:rPr>
        <w:rFonts w:hint="default" w:ascii="Symbol" w:hAnsi="Symbol"/>
      </w:rPr>
    </w:lvl>
  </w:abstractNum>
  <w:abstractNum w:abstractNumId="5">
    <w:nsid w:val="25B654F3"/>
    <w:multiLevelType w:val="singleLevel"/>
    <w:tmpl w:val="25B654F3"/>
    <w:lvl w:ilvl="0" w:tentative="0">
      <w:start w:val="1"/>
      <w:numFmt w:val="bullet"/>
      <w:lvlText w:val=""/>
      <w:lvlJc w:val="left"/>
      <w:pPr>
        <w:tabs>
          <w:tab w:val="left" w:pos="900"/>
        </w:tabs>
        <w:ind w:left="540" w:hanging="360"/>
      </w:pPr>
      <w:rPr>
        <w:rFonts w:hint="default" w:ascii="Symbol" w:hAnsi="Symbol"/>
      </w:rPr>
    </w:lvl>
  </w:abstractNum>
  <w:abstractNum w:abstractNumId="6">
    <w:nsid w:val="448C2CC7"/>
    <w:multiLevelType w:val="singleLevel"/>
    <w:tmpl w:val="448C2CC7"/>
    <w:lvl w:ilvl="0" w:tentative="0">
      <w:start w:val="5"/>
      <w:numFmt w:val="decimal"/>
      <w:suff w:val="space"/>
      <w:lvlText w:val="%1."/>
      <w:lvlJc w:val="left"/>
    </w:lvl>
  </w:abstractNum>
  <w:abstractNum w:abstractNumId="7">
    <w:nsid w:val="59ADCABA"/>
    <w:multiLevelType w:val="multilevel"/>
    <w:tmpl w:val="59ADCABA"/>
    <w:lvl w:ilvl="0" w:tentative="0">
      <w:start w:val="1"/>
      <w:numFmt w:val="bullet"/>
      <w:lvlText w:val=""/>
      <w:lvlJc w:val="left"/>
      <w:pPr>
        <w:tabs>
          <w:tab w:val="left" w:pos="900"/>
        </w:tabs>
        <w:ind w:left="540" w:hanging="360"/>
      </w:pPr>
      <w:rPr>
        <w:rFonts w:hint="default" w:ascii="Symbol" w:hAnsi="Symbol"/>
      </w:rPr>
    </w:lvl>
    <w:lvl w:ilvl="1" w:tentative="0">
      <w:start w:val="1"/>
      <w:numFmt w:val="bullet"/>
      <w:lvlText w:val="o"/>
      <w:lvlJc w:val="left"/>
      <w:pPr>
        <w:tabs>
          <w:tab w:val="left" w:pos="1440"/>
        </w:tabs>
        <w:ind w:left="1080" w:hanging="360"/>
      </w:pPr>
      <w:rPr>
        <w:rFonts w:hint="default" w:ascii="Courier New" w:hAnsi="Courier New" w:cs="Courier New"/>
      </w:rPr>
    </w:lvl>
  </w:abstractNum>
  <w:num w:numId="1">
    <w:abstractNumId w:val="3"/>
  </w:num>
  <w:num w:numId="2">
    <w:abstractNumId w:val="2"/>
  </w:num>
  <w:num w:numId="3">
    <w:abstractNumId w:val="7"/>
  </w:num>
  <w:num w:numId="4">
    <w:abstractNumId w:val="1"/>
  </w:num>
  <w:num w:numId="5">
    <w:abstractNumId w:val="0"/>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71286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Georgia" w:hAnsiTheme="minorHAnsi" w:eastAsiaTheme="minorHAnsi"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20" w:line="240" w:lineRule="atLeast"/>
    </w:pPr>
    <w:rPr>
      <w:rFonts w:ascii="Georgia" w:hAnsiTheme="minorHAnsi" w:eastAsiaTheme="minorHAnsi" w:cstheme="minorBidi"/>
      <w:sz w:val="21"/>
      <w:szCs w:val="22"/>
      <w:lang w:val="en-US" w:eastAsia="en-US" w:bidi="ar-SA"/>
    </w:rPr>
  </w:style>
  <w:style w:type="character" w:default="1" w:styleId="2">
    <w:name w:val="Default Paragraph Font"/>
    <w:semiHidden/>
    <w:uiPriority w:val="0"/>
  </w:style>
  <w:style w:type="table" w:default="1" w:styleId="3">
    <w:name w:val="Normal Table"/>
    <w:semiHidden/>
    <w:unhideWhenUsed/>
    <w:uiPriority w:val="99"/>
    <w:tblPr>
      <w:tblCellMar>
        <w:top w:w="80" w:type="dxa"/>
        <w:left w:w="160" w:type="dxa"/>
        <w:bottom w:w="80" w:type="dxa"/>
        <w:right w:w="160" w:type="dxa"/>
      </w:tblCellMar>
    </w:tblPr>
  </w:style>
  <w:style w:type="character" w:customStyle="1" w:styleId="4">
    <w:name w:val="Verbatim Char"/>
    <w:qFormat/>
    <w:uiPriority w:val="0"/>
    <w:rPr>
      <w:rFonts w:ascii="Consolas" w:hAnsi="Consolas"/>
      <w:sz w:val="22"/>
    </w:rPr>
  </w:style>
  <w:style w:type="table" w:customStyle="1" w:styleId="5">
    <w:name w:val="Normal Grid"/>
    <w:basedOn w:val="3"/>
    <w:uiPriority w:val="39"/>
    <w:pPr>
      <w:spacing w:after="0" w:line="240" w:lineRule="auto"/>
    </w:pPr>
    <w:tblPr>
      <w:tblCellMar>
        <w:top w:w="80" w:type="dxa"/>
        <w:left w:w="160" w:type="dxa"/>
        <w:bottom w:w="80" w:type="dxa"/>
        <w:right w:w="16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9"/>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TotalTime>19</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2025-09-08T10:51:00Z</dcterms:created>
  <dc:creator>html-to-docx</dc:creator>
  <cp:keywords>html-to-docx</cp:keywords>
  <cp:lastModifiedBy>Aayush Madan</cp:lastModifiedBy>
  <dcterms:modified xsi:type="dcterms:W3CDTF">2025-09-10T18:42:52Z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CC7A357AF9F347928DB4D56C8119516D_12</vt:lpwstr>
  </property>
</Properties>
</file>