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BB252E">
      <w:pPr>
        <w:spacing w:after="0" w:line="360" w:lineRule="auto"/>
        <w:rPr>
          <w:rFonts w:hint="default" w:ascii="Arial" w:hAnsi="Arial" w:cs="Arial"/>
        </w:rPr>
      </w:pPr>
    </w:p>
    <w:p w14:paraId="17071ABE">
      <w:pPr>
        <w:spacing w:before="157" w:after="157" w:line="270" w:lineRule="auto"/>
        <w:jc w:val="left"/>
        <w:rPr>
          <w:rFonts w:hint="default" w:ascii="Arial" w:hAnsi="Arial" w:cs="Arial"/>
        </w:rPr>
      </w:pPr>
      <w:bookmarkStart w:id="5" w:name="_GoBack"/>
      <w:r>
        <w:rPr>
          <w:rFonts w:hint="default" w:ascii="Arial" w:hAnsi="Arial" w:eastAsia="inter" w:cs="Arial"/>
          <w:b/>
          <w:color w:val="000000"/>
          <w:sz w:val="39"/>
          <w:lang w:val="en-IN"/>
        </w:rPr>
        <w:t>Marketing Campaign</w:t>
      </w:r>
      <w:r>
        <w:rPr>
          <w:rFonts w:hint="default" w:ascii="Arial" w:hAnsi="Arial" w:eastAsia="inter" w:cs="Arial"/>
          <w:b/>
          <w:color w:val="000000"/>
          <w:sz w:val="39"/>
        </w:rPr>
        <w:t xml:space="preserve"> Report: Workflow, Methodology &amp; Comprehensive Findings</w:t>
      </w:r>
    </w:p>
    <w:bookmarkEnd w:id="5"/>
    <w:p w14:paraId="27EA628A">
      <w:pPr>
        <w:spacing w:before="315" w:after="105" w:line="360" w:lineRule="auto"/>
        <w:ind w:left="-30"/>
        <w:jc w:val="left"/>
        <w:rPr>
          <w:rFonts w:hint="default" w:ascii="Arial" w:hAnsi="Arial" w:cs="Arial"/>
          <w:sz w:val="28"/>
          <w:szCs w:val="28"/>
        </w:rPr>
      </w:pPr>
      <w:r>
        <w:rPr>
          <w:rFonts w:hint="default" w:ascii="Arial" w:hAnsi="Arial" w:eastAsia="inter" w:cs="Arial"/>
          <w:b/>
          <w:color w:val="000000"/>
          <w:sz w:val="28"/>
          <w:szCs w:val="28"/>
        </w:rPr>
        <w:t>1. Project Overview</w:t>
      </w:r>
    </w:p>
    <w:p w14:paraId="6737F476">
      <w:pPr>
        <w:spacing w:after="210" w:line="360" w:lineRule="auto"/>
        <w:rPr>
          <w:rFonts w:hint="default" w:ascii="Arial" w:hAnsi="Arial" w:cs="Arial"/>
        </w:rPr>
      </w:pPr>
      <w:r>
        <w:rPr>
          <w:rFonts w:hint="default" w:ascii="Arial" w:hAnsi="Arial" w:eastAsia="inter" w:cs="Arial"/>
          <w:color w:val="000000"/>
        </w:rPr>
        <w:t>This project establishes a robust analytics pipeline, transforming raw marketing campaign data into validated insights and interactive dashboards. Leveraging Alteryx for data preparation and exploratory analysis, followed by Power BI for visualization and stakeholder reporting, the deliverables include clean datasets, aggregated metrics, and actionable recommendations.</w:t>
      </w:r>
    </w:p>
    <w:p w14:paraId="6A1DB56F">
      <w:pPr>
        <w:spacing w:before="315" w:after="105" w:line="360" w:lineRule="auto"/>
        <w:ind w:left="-30"/>
        <w:jc w:val="left"/>
        <w:rPr>
          <w:rFonts w:hint="default" w:ascii="Arial" w:hAnsi="Arial" w:cs="Arial"/>
          <w:sz w:val="28"/>
          <w:szCs w:val="28"/>
        </w:rPr>
      </w:pPr>
      <w:r>
        <w:rPr>
          <w:rFonts w:hint="default" w:ascii="Arial" w:hAnsi="Arial" w:eastAsia="inter" w:cs="Arial"/>
          <w:b/>
          <w:color w:val="000000"/>
          <w:sz w:val="28"/>
          <w:szCs w:val="28"/>
        </w:rPr>
        <w:t>2. Data Ingestion &amp; Cleaning in Alteryx</w:t>
      </w:r>
    </w:p>
    <w:p w14:paraId="055F5FE0">
      <w:pPr>
        <w:spacing w:before="315" w:after="105" w:line="360" w:lineRule="auto"/>
        <w:ind w:left="-30"/>
        <w:jc w:val="left"/>
        <w:rPr>
          <w:rFonts w:hint="default" w:ascii="Arial" w:hAnsi="Arial" w:cs="Arial"/>
        </w:rPr>
      </w:pPr>
      <w:r>
        <w:rPr>
          <w:rFonts w:hint="default" w:ascii="Arial" w:hAnsi="Arial" w:eastAsia="inter" w:cs="Arial"/>
          <w:b/>
          <w:color w:val="000000"/>
          <w:sz w:val="24"/>
        </w:rPr>
        <w:t>2.1 Source Data</w:t>
      </w:r>
    </w:p>
    <w:p w14:paraId="232F1F79">
      <w:pPr>
        <w:numPr>
          <w:ilvl w:val="0"/>
          <w:numId w:val="1"/>
        </w:numPr>
        <w:spacing w:before="105" w:after="105" w:line="360" w:lineRule="auto"/>
        <w:rPr>
          <w:rFonts w:hint="default" w:ascii="Arial" w:hAnsi="Arial" w:cs="Arial"/>
        </w:rPr>
      </w:pPr>
      <w:r>
        <w:rPr>
          <w:rFonts w:hint="default" w:ascii="Arial" w:hAnsi="Arial" w:eastAsia="inter" w:cs="Arial"/>
          <w:b/>
          <w:color w:val="000000"/>
          <w:sz w:val="21"/>
        </w:rPr>
        <w:t>File</w:t>
      </w:r>
      <w:r>
        <w:rPr>
          <w:rFonts w:hint="default" w:ascii="Arial" w:hAnsi="Arial" w:eastAsia="inter" w:cs="Arial"/>
          <w:color w:val="000000"/>
          <w:sz w:val="21"/>
        </w:rPr>
        <w:t>: Marketing-Campaign-Dataset.xlsx</w:t>
      </w:r>
    </w:p>
    <w:p w14:paraId="39CD4A27">
      <w:pPr>
        <w:numPr>
          <w:ilvl w:val="0"/>
          <w:numId w:val="1"/>
        </w:numPr>
        <w:spacing w:before="105" w:after="105" w:line="360" w:lineRule="auto"/>
        <w:rPr>
          <w:rFonts w:hint="default" w:ascii="Arial" w:hAnsi="Arial" w:cs="Arial"/>
        </w:rPr>
      </w:pPr>
      <w:r>
        <w:rPr>
          <w:rFonts w:hint="default" w:ascii="Arial" w:hAnsi="Arial" w:eastAsia="inter" w:cs="Arial"/>
          <w:b/>
          <w:color w:val="000000"/>
          <w:sz w:val="21"/>
        </w:rPr>
        <w:t>Sheet</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marketing_data</w:t>
      </w:r>
    </w:p>
    <w:p w14:paraId="1808BCB9">
      <w:pPr>
        <w:numPr>
          <w:ilvl w:val="0"/>
          <w:numId w:val="1"/>
        </w:numPr>
        <w:spacing w:before="105" w:after="105" w:line="360" w:lineRule="auto"/>
        <w:rPr>
          <w:rFonts w:hint="default" w:ascii="Arial" w:hAnsi="Arial" w:cs="Arial"/>
        </w:rPr>
      </w:pPr>
      <w:r>
        <w:rPr>
          <w:rFonts w:hint="default" w:ascii="Arial" w:hAnsi="Arial" w:eastAsia="inter" w:cs="Arial"/>
          <w:b/>
          <w:color w:val="000000"/>
          <w:sz w:val="21"/>
        </w:rPr>
        <w:t>Records</w:t>
      </w:r>
      <w:r>
        <w:rPr>
          <w:rFonts w:hint="default" w:ascii="Arial" w:hAnsi="Arial" w:eastAsia="inter" w:cs="Arial"/>
          <w:color w:val="000000"/>
          <w:sz w:val="21"/>
        </w:rPr>
        <w:t>: 54,000+ transactions spanning customer demographics, purchase history, and campaign responses.</w:t>
      </w:r>
    </w:p>
    <w:p w14:paraId="57407248">
      <w:pPr>
        <w:spacing w:before="315" w:after="105" w:line="360" w:lineRule="auto"/>
        <w:ind w:left="-30"/>
        <w:jc w:val="left"/>
        <w:rPr>
          <w:rFonts w:hint="default" w:ascii="Arial" w:hAnsi="Arial" w:cs="Arial"/>
        </w:rPr>
      </w:pPr>
      <w:r>
        <w:rPr>
          <w:rFonts w:hint="default" w:ascii="Arial" w:hAnsi="Arial" w:eastAsia="inter" w:cs="Arial"/>
          <w:b/>
          <w:color w:val="000000"/>
          <w:sz w:val="24"/>
        </w:rPr>
        <w:t>2.2 Cleaning Steps</w:t>
      </w:r>
    </w:p>
    <w:p w14:paraId="621144F8">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Income Validation &amp; Capping</w:t>
      </w:r>
    </w:p>
    <w:p w14:paraId="3B0983D9">
      <w:pPr>
        <w:numPr>
          <w:ilvl w:val="1"/>
          <w:numId w:val="2"/>
        </w:numPr>
        <w:spacing w:before="105" w:after="105" w:line="360" w:lineRule="auto"/>
        <w:rPr>
          <w:rFonts w:hint="default" w:ascii="Arial" w:hAnsi="Arial" w:cs="Arial"/>
        </w:rPr>
      </w:pPr>
      <w:r>
        <w:rPr>
          <w:rFonts w:hint="default" w:ascii="Arial" w:hAnsi="Arial" w:eastAsia="inter" w:cs="Arial"/>
          <w:color w:val="000000"/>
          <w:sz w:val="21"/>
        </w:rPr>
        <w:t>Null or nonpositive values set to NULL; incomes &gt;₹200,000 capped at ₹200,000</w:t>
      </w:r>
    </w:p>
    <w:p w14:paraId="38F18DD3">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Age Derivation &amp; Validation</w:t>
      </w:r>
    </w:p>
    <w:p w14:paraId="12A858D4">
      <w:pPr>
        <w:numPr>
          <w:ilvl w:val="1"/>
          <w:numId w:val="2"/>
        </w:numPr>
        <w:spacing w:before="105" w:after="105" w:line="360" w:lineRule="auto"/>
        <w:rPr>
          <w:rFonts w:hint="default" w:ascii="Arial" w:hAnsi="Arial" w:cs="Arial"/>
        </w:rPr>
      </w:pPr>
      <w:r>
        <w:rPr>
          <w:rFonts w:hint="default" w:ascii="Arial" w:hAnsi="Arial" w:eastAsia="inter" w:cs="Arial"/>
          <w:color w:val="000000"/>
          <w:sz w:val="21"/>
        </w:rPr>
        <w:t>Converted birth year to age; retained ages 18–100, others flagged NULL</w:t>
      </w:r>
    </w:p>
    <w:p w14:paraId="4E565176">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Categorical Standardization</w:t>
      </w:r>
    </w:p>
    <w:p w14:paraId="7C9BB4AE">
      <w:pPr>
        <w:numPr>
          <w:ilvl w:val="1"/>
          <w:numId w:val="2"/>
        </w:numPr>
        <w:spacing w:before="105" w:after="105" w:line="360" w:lineRule="auto"/>
        <w:rPr>
          <w:rFonts w:hint="default" w:ascii="Arial" w:hAnsi="Arial" w:cs="Arial"/>
        </w:rPr>
      </w:pPr>
      <w:r>
        <w:rPr>
          <w:rFonts w:hint="default" w:ascii="Arial" w:hAnsi="Arial" w:eastAsia="inter" w:cs="Arial"/>
          <w:color w:val="000000"/>
          <w:sz w:val="21"/>
        </w:rPr>
        <w:t xml:space="preserve">Unified </w:t>
      </w:r>
      <w:r>
        <w:rPr>
          <w:rStyle w:val="4"/>
          <w:rFonts w:hint="default" w:ascii="Arial" w:hAnsi="Arial" w:eastAsia="ibm plex mono" w:cs="Arial"/>
          <w:color w:val="000000"/>
          <w:sz w:val="18"/>
          <w:shd w:val="clear" w:color="auto" w:fill="F8F8FA"/>
        </w:rPr>
        <w:t>Education</w:t>
      </w:r>
      <w:r>
        <w:rPr>
          <w:rFonts w:hint="default" w:ascii="Arial" w:hAnsi="Arial" w:eastAsia="inter" w:cs="Arial"/>
          <w:color w:val="000000"/>
          <w:sz w:val="21"/>
        </w:rPr>
        <w:t xml:space="preserve"> entries into numeric </w:t>
      </w:r>
      <w:r>
        <w:rPr>
          <w:rStyle w:val="4"/>
          <w:rFonts w:hint="default" w:ascii="Arial" w:hAnsi="Arial" w:eastAsia="ibm plex mono" w:cs="Arial"/>
          <w:color w:val="000000"/>
          <w:sz w:val="18"/>
          <w:shd w:val="clear" w:color="auto" w:fill="F8F8FA"/>
        </w:rPr>
        <w:t>Education_Level</w:t>
      </w:r>
      <w:r>
        <w:rPr>
          <w:rFonts w:hint="default" w:ascii="Arial" w:hAnsi="Arial" w:eastAsia="inter" w:cs="Arial"/>
          <w:color w:val="000000"/>
          <w:sz w:val="21"/>
        </w:rPr>
        <w:t xml:space="preserve"> (1–5)</w:t>
      </w:r>
    </w:p>
    <w:p w14:paraId="31DBEFE6">
      <w:pPr>
        <w:numPr>
          <w:ilvl w:val="1"/>
          <w:numId w:val="2"/>
        </w:numPr>
        <w:spacing w:before="105" w:after="105" w:line="360" w:lineRule="auto"/>
        <w:rPr>
          <w:rFonts w:hint="default" w:ascii="Arial" w:hAnsi="Arial" w:cs="Arial"/>
        </w:rPr>
      </w:pPr>
      <w:r>
        <w:rPr>
          <w:rFonts w:hint="default" w:ascii="Arial" w:hAnsi="Arial" w:eastAsia="inter" w:cs="Arial"/>
          <w:color w:val="000000"/>
          <w:sz w:val="21"/>
        </w:rPr>
        <w:t xml:space="preserve">Standardized </w:t>
      </w:r>
      <w:r>
        <w:rPr>
          <w:rStyle w:val="4"/>
          <w:rFonts w:hint="default" w:ascii="Arial" w:hAnsi="Arial" w:eastAsia="ibm plex mono" w:cs="Arial"/>
          <w:color w:val="000000"/>
          <w:sz w:val="18"/>
          <w:shd w:val="clear" w:color="auto" w:fill="F8F8FA"/>
        </w:rPr>
        <w:t>Marital_Status</w:t>
      </w:r>
      <w:r>
        <w:rPr>
          <w:rFonts w:hint="default" w:ascii="Arial" w:hAnsi="Arial" w:eastAsia="inter" w:cs="Arial"/>
          <w:color w:val="000000"/>
          <w:sz w:val="21"/>
        </w:rPr>
        <w:t xml:space="preserve"> values and corrected typos</w:t>
      </w:r>
    </w:p>
    <w:p w14:paraId="0E2FE3F1">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Dependents Calculation &amp; Quality Flag</w:t>
      </w:r>
    </w:p>
    <w:p w14:paraId="212B39A1">
      <w:pPr>
        <w:numPr>
          <w:ilvl w:val="1"/>
          <w:numId w:val="2"/>
        </w:numPr>
        <w:spacing w:before="105" w:after="105" w:line="360" w:lineRule="auto"/>
        <w:rPr>
          <w:rFonts w:hint="default" w:ascii="Arial" w:hAnsi="Arial" w:cs="Arial"/>
        </w:rPr>
      </w:pPr>
      <w:r>
        <w:rPr>
          <w:rStyle w:val="4"/>
          <w:rFonts w:hint="default" w:ascii="Arial" w:hAnsi="Arial" w:eastAsia="ibm plex mono" w:cs="Arial"/>
          <w:color w:val="000000"/>
          <w:sz w:val="18"/>
          <w:shd w:val="clear" w:color="auto" w:fill="F8F8FA"/>
        </w:rPr>
        <w:t>Total_Dependents</w:t>
      </w:r>
      <w:r>
        <w:rPr>
          <w:rFonts w:hint="default" w:ascii="Arial" w:hAnsi="Arial" w:eastAsia="inter" w:cs="Arial"/>
          <w:color w:val="000000"/>
          <w:sz w:val="21"/>
        </w:rPr>
        <w:t xml:space="preserve"> = </w:t>
      </w:r>
      <w:r>
        <w:rPr>
          <w:rStyle w:val="4"/>
          <w:rFonts w:hint="default" w:ascii="Arial" w:hAnsi="Arial" w:eastAsia="ibm plex mono" w:cs="Arial"/>
          <w:color w:val="000000"/>
          <w:sz w:val="18"/>
          <w:shd w:val="clear" w:color="auto" w:fill="F8F8FA"/>
        </w:rPr>
        <w:t>Kidhome</w:t>
      </w:r>
      <w:r>
        <w:rPr>
          <w:rFonts w:hint="default" w:ascii="Arial" w:hAnsi="Arial" w:eastAsia="inter" w:cs="Arial"/>
          <w:color w:val="000000"/>
          <w:sz w:val="21"/>
        </w:rPr>
        <w:t xml:space="preserve"> + </w:t>
      </w:r>
      <w:r>
        <w:rPr>
          <w:rStyle w:val="4"/>
          <w:rFonts w:hint="default" w:ascii="Arial" w:hAnsi="Arial" w:eastAsia="ibm plex mono" w:cs="Arial"/>
          <w:color w:val="000000"/>
          <w:sz w:val="18"/>
          <w:shd w:val="clear" w:color="auto" w:fill="F8F8FA"/>
        </w:rPr>
        <w:t>Teenhome</w:t>
      </w:r>
    </w:p>
    <w:p w14:paraId="5AE09CCE">
      <w:pPr>
        <w:numPr>
          <w:ilvl w:val="1"/>
          <w:numId w:val="2"/>
        </w:numPr>
        <w:spacing w:before="105" w:after="105" w:line="360" w:lineRule="auto"/>
        <w:rPr>
          <w:rFonts w:hint="default" w:ascii="Arial" w:hAnsi="Arial" w:cs="Arial"/>
        </w:rPr>
      </w:pPr>
      <w:r>
        <w:rPr>
          <w:rFonts w:hint="default" w:ascii="Arial" w:hAnsi="Arial" w:eastAsia="inter" w:cs="Arial"/>
          <w:color w:val="000000"/>
          <w:sz w:val="21"/>
        </w:rPr>
        <w:t xml:space="preserve">Records with &gt;5 dependents labeled </w:t>
      </w:r>
      <w:r>
        <w:rPr>
          <w:rStyle w:val="4"/>
          <w:rFonts w:hint="default" w:ascii="Arial" w:hAnsi="Arial" w:eastAsia="ibm plex mono" w:cs="Arial"/>
          <w:color w:val="000000"/>
          <w:sz w:val="18"/>
          <w:shd w:val="clear" w:color="auto" w:fill="F8F8FA"/>
        </w:rPr>
        <w:t>High_Dependents</w:t>
      </w:r>
      <w:r>
        <w:rPr>
          <w:rFonts w:hint="default" w:ascii="Arial" w:hAnsi="Arial" w:eastAsia="inter" w:cs="Arial"/>
          <w:color w:val="000000"/>
          <w:sz w:val="21"/>
        </w:rPr>
        <w:t xml:space="preserve"> for review</w:t>
      </w:r>
    </w:p>
    <w:p w14:paraId="676355BF">
      <w:pPr>
        <w:numPr>
          <w:ilvl w:val="0"/>
          <w:numId w:val="2"/>
        </w:numPr>
        <w:spacing w:before="105" w:after="105" w:line="360" w:lineRule="auto"/>
        <w:rPr>
          <w:rFonts w:hint="default" w:ascii="Arial" w:hAnsi="Arial" w:cs="Arial"/>
        </w:rPr>
      </w:pPr>
      <w:r>
        <w:rPr>
          <w:rFonts w:hint="default" w:ascii="Arial" w:hAnsi="Arial" w:eastAsia="inter" w:cs="Arial"/>
          <w:b/>
          <w:color w:val="000000"/>
          <w:sz w:val="21"/>
        </w:rPr>
        <w:t>Output</w:t>
      </w:r>
      <w:r>
        <w:rPr>
          <w:rFonts w:hint="default" w:ascii="Arial" w:hAnsi="Arial" w:eastAsia="inter" w:cs="Arial"/>
          <w:color w:val="000000"/>
          <w:sz w:val="21"/>
        </w:rPr>
        <w:t>: Cleaned dataset “02_Cleaned_Data” containing 2,237 unique customer records with validated, standardized fields (ID, Age, Income_Segment, Education_Level, Country, Total_Spend placeholder).</w:t>
      </w:r>
      <w:bookmarkStart w:id="0" w:name="fnref1"/>
      <w:bookmarkEnd w:id="0"/>
    </w:p>
    <w:p w14:paraId="75762F8A">
      <w:pPr>
        <w:spacing w:before="210" w:after="0" w:line="360" w:lineRule="auto"/>
        <w:rPr>
          <w:rFonts w:hint="default" w:ascii="Arial" w:hAnsi="Arial" w:cs="Arial"/>
        </w:rPr>
      </w:pPr>
    </w:p>
    <w:p w14:paraId="60B0A25E">
      <w:pPr>
        <w:spacing w:before="315" w:after="105" w:line="360" w:lineRule="auto"/>
        <w:ind w:left="-30"/>
        <w:jc w:val="left"/>
        <w:rPr>
          <w:rFonts w:hint="default" w:ascii="Arial" w:hAnsi="Arial" w:cs="Arial"/>
          <w:sz w:val="28"/>
          <w:szCs w:val="28"/>
        </w:rPr>
      </w:pPr>
      <w:r>
        <w:rPr>
          <w:rFonts w:hint="default" w:ascii="Arial" w:hAnsi="Arial" w:eastAsia="inter" w:cs="Arial"/>
          <w:b/>
          <w:color w:val="000000"/>
          <w:sz w:val="28"/>
          <w:szCs w:val="28"/>
        </w:rPr>
        <w:t>3. Exploratory Data Analysis &amp; Aggregation</w:t>
      </w:r>
    </w:p>
    <w:p w14:paraId="1C5FA819">
      <w:pPr>
        <w:spacing w:before="315" w:after="105" w:line="360" w:lineRule="auto"/>
        <w:ind w:left="-30"/>
        <w:jc w:val="left"/>
        <w:rPr>
          <w:rFonts w:hint="default" w:ascii="Arial" w:hAnsi="Arial" w:cs="Arial"/>
        </w:rPr>
      </w:pPr>
      <w:r>
        <w:rPr>
          <w:rFonts w:hint="default" w:ascii="Arial" w:hAnsi="Arial" w:eastAsia="inter" w:cs="Arial"/>
          <w:b/>
          <w:color w:val="000000"/>
          <w:sz w:val="24"/>
        </w:rPr>
        <w:t>3.1 Derived Metrics</w:t>
      </w:r>
    </w:p>
    <w:p w14:paraId="4DDF5C09">
      <w:pPr>
        <w:numPr>
          <w:ilvl w:val="0"/>
          <w:numId w:val="3"/>
        </w:numPr>
        <w:spacing w:before="105" w:after="105" w:line="360" w:lineRule="auto"/>
        <w:rPr>
          <w:rFonts w:hint="default" w:ascii="Arial" w:hAnsi="Arial" w:cs="Arial"/>
        </w:rPr>
      </w:pPr>
      <w:r>
        <w:rPr>
          <w:rFonts w:hint="default" w:ascii="Arial" w:hAnsi="Arial" w:eastAsia="inter" w:cs="Arial"/>
          <w:b/>
          <w:color w:val="000000"/>
          <w:sz w:val="21"/>
        </w:rPr>
        <w:t>Total_Spend</w:t>
      </w:r>
      <w:r>
        <w:rPr>
          <w:rFonts w:hint="default" w:ascii="Arial" w:hAnsi="Arial" w:eastAsia="inter" w:cs="Arial"/>
          <w:color w:val="000000"/>
          <w:sz w:val="21"/>
        </w:rPr>
        <w:t>: Sum of product category spends (</w:t>
      </w:r>
      <w:r>
        <w:rPr>
          <w:rStyle w:val="4"/>
          <w:rFonts w:hint="default" w:ascii="Arial" w:hAnsi="Arial" w:eastAsia="ibm plex mono" w:cs="Arial"/>
          <w:color w:val="000000"/>
          <w:sz w:val="18"/>
          <w:shd w:val="clear" w:color="auto" w:fill="F8F8FA"/>
        </w:rPr>
        <w:t>MntWines</w:t>
      </w:r>
      <w:r>
        <w:rPr>
          <w:rFonts w:hint="default" w:ascii="Arial" w:hAnsi="Arial" w:eastAsia="inter" w:cs="Arial"/>
          <w:color w:val="000000"/>
          <w:sz w:val="21"/>
        </w:rPr>
        <w:t>…</w:t>
      </w:r>
      <w:r>
        <w:rPr>
          <w:rStyle w:val="4"/>
          <w:rFonts w:hint="default" w:ascii="Arial" w:hAnsi="Arial" w:eastAsia="ibm plex mono" w:cs="Arial"/>
          <w:color w:val="000000"/>
          <w:sz w:val="18"/>
          <w:shd w:val="clear" w:color="auto" w:fill="F8F8FA"/>
        </w:rPr>
        <w:t>MntGoldProds</w:t>
      </w:r>
      <w:r>
        <w:rPr>
          <w:rFonts w:hint="default" w:ascii="Arial" w:hAnsi="Arial" w:eastAsia="inter" w:cs="Arial"/>
          <w:color w:val="000000"/>
          <w:sz w:val="21"/>
        </w:rPr>
        <w:t>)</w:t>
      </w:r>
    </w:p>
    <w:p w14:paraId="12C5452D">
      <w:pPr>
        <w:numPr>
          <w:ilvl w:val="0"/>
          <w:numId w:val="3"/>
        </w:numPr>
        <w:spacing w:before="105" w:after="105" w:line="360" w:lineRule="auto"/>
        <w:rPr>
          <w:rFonts w:hint="default" w:ascii="Arial" w:hAnsi="Arial" w:cs="Arial"/>
        </w:rPr>
      </w:pPr>
      <w:r>
        <w:rPr>
          <w:rFonts w:hint="default" w:ascii="Arial" w:hAnsi="Arial" w:eastAsia="inter" w:cs="Arial"/>
          <w:b/>
          <w:color w:val="000000"/>
          <w:sz w:val="21"/>
        </w:rPr>
        <w:t>Days_Since_Last_Purchase</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DateTimeDiff(DateTimeToday(), Dt_Customer, "days")</w:t>
      </w:r>
    </w:p>
    <w:p w14:paraId="6DED50B9">
      <w:pPr>
        <w:spacing w:before="315" w:after="105" w:line="360" w:lineRule="auto"/>
        <w:ind w:left="-30"/>
        <w:jc w:val="left"/>
        <w:rPr>
          <w:rFonts w:hint="default" w:ascii="Arial" w:hAnsi="Arial" w:cs="Arial"/>
        </w:rPr>
      </w:pPr>
      <w:r>
        <w:rPr>
          <w:rFonts w:hint="default" w:ascii="Arial" w:hAnsi="Arial" w:eastAsia="inter" w:cs="Arial"/>
          <w:b/>
          <w:color w:val="000000"/>
          <w:sz w:val="24"/>
        </w:rPr>
        <w:t>3.2 Aggregation Streams</w:t>
      </w:r>
    </w:p>
    <w:p w14:paraId="0C92F5E7">
      <w:pPr>
        <w:numPr>
          <w:ilvl w:val="0"/>
          <w:numId w:val="4"/>
        </w:numPr>
        <w:spacing w:after="210" w:line="360" w:lineRule="auto"/>
        <w:rPr>
          <w:rFonts w:hint="default" w:ascii="Arial" w:hAnsi="Arial" w:cs="Arial"/>
        </w:rPr>
      </w:pPr>
      <w:r>
        <w:rPr>
          <w:rFonts w:hint="default" w:ascii="Arial" w:hAnsi="Arial" w:eastAsia="inter" w:cs="Arial"/>
          <w:b/>
          <w:color w:val="000000"/>
          <w:sz w:val="21"/>
        </w:rPr>
        <w:t>Spend by Education Level</w:t>
      </w:r>
    </w:p>
    <w:p w14:paraId="33C953EE">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 xml:space="preserve">Group by </w:t>
      </w:r>
      <w:r>
        <w:rPr>
          <w:rStyle w:val="4"/>
          <w:rFonts w:hint="default" w:ascii="Arial" w:hAnsi="Arial" w:eastAsia="ibm plex mono" w:cs="Arial"/>
          <w:color w:val="000000"/>
          <w:sz w:val="18"/>
          <w:shd w:val="clear" w:color="auto" w:fill="F8F8FA"/>
        </w:rPr>
        <w:t>Education_Level</w:t>
      </w:r>
      <w:r>
        <w:rPr>
          <w:rFonts w:hint="default" w:ascii="Arial" w:hAnsi="Arial" w:eastAsia="inter" w:cs="Arial"/>
          <w:color w:val="000000"/>
          <w:sz w:val="21"/>
        </w:rPr>
        <w:t xml:space="preserve">; compute </w:t>
      </w:r>
      <w:r>
        <w:rPr>
          <w:rStyle w:val="4"/>
          <w:rFonts w:hint="default" w:ascii="Arial" w:hAnsi="Arial" w:eastAsia="ibm plex mono" w:cs="Arial"/>
          <w:color w:val="000000"/>
          <w:sz w:val="18"/>
          <w:shd w:val="clear" w:color="auto" w:fill="F8F8FA"/>
        </w:rPr>
        <w:t>Sum_Spend_By_Edu</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Count_ID</w:t>
      </w:r>
      <w:r>
        <w:rPr>
          <w:rFonts w:hint="default" w:ascii="Arial" w:hAnsi="Arial" w:eastAsia="inter" w:cs="Arial"/>
          <w:color w:val="000000"/>
          <w:sz w:val="21"/>
        </w:rPr>
        <w:t xml:space="preserve">; derive </w:t>
      </w:r>
      <w:r>
        <w:rPr>
          <w:rStyle w:val="4"/>
          <w:rFonts w:hint="default" w:ascii="Arial" w:hAnsi="Arial" w:eastAsia="ibm plex mono" w:cs="Arial"/>
          <w:color w:val="000000"/>
          <w:sz w:val="18"/>
          <w:shd w:val="clear" w:color="auto" w:fill="F8F8FA"/>
        </w:rPr>
        <w:t>Avg_Spend_By_Edu</w:t>
      </w:r>
    </w:p>
    <w:p w14:paraId="27FAF40A">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Output: Edu_Spend.csv</w:t>
      </w:r>
    </w:p>
    <w:p w14:paraId="414E68A7">
      <w:pPr>
        <w:numPr>
          <w:ilvl w:val="0"/>
          <w:numId w:val="4"/>
        </w:numPr>
        <w:spacing w:after="210" w:line="360" w:lineRule="auto"/>
        <w:rPr>
          <w:rFonts w:hint="default" w:ascii="Arial" w:hAnsi="Arial" w:cs="Arial"/>
        </w:rPr>
      </w:pPr>
      <w:r>
        <w:rPr>
          <w:rFonts w:hint="default" w:ascii="Arial" w:hAnsi="Arial" w:eastAsia="inter" w:cs="Arial"/>
          <w:b/>
          <w:color w:val="000000"/>
          <w:sz w:val="21"/>
        </w:rPr>
        <w:t>Campaign Conversion Analysis</w:t>
      </w:r>
    </w:p>
    <w:p w14:paraId="61D42EC3">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 xml:space="preserve">Unpivot </w:t>
      </w:r>
      <w:r>
        <w:rPr>
          <w:rStyle w:val="4"/>
          <w:rFonts w:hint="default" w:ascii="Arial" w:hAnsi="Arial" w:eastAsia="ibm plex mono" w:cs="Arial"/>
          <w:color w:val="000000"/>
          <w:sz w:val="18"/>
          <w:shd w:val="clear" w:color="auto" w:fill="F8F8FA"/>
        </w:rPr>
        <w:t>AcceptedCmp1</w:t>
      </w:r>
      <w:r>
        <w:rPr>
          <w:rFonts w:hint="default" w:ascii="Arial" w:hAnsi="Arial" w:eastAsia="inter" w:cs="Arial"/>
          <w:color w:val="000000"/>
          <w:sz w:val="21"/>
        </w:rPr>
        <w:t>–</w:t>
      </w:r>
      <w:r>
        <w:rPr>
          <w:rStyle w:val="4"/>
          <w:rFonts w:hint="default" w:ascii="Arial" w:hAnsi="Arial" w:eastAsia="ibm plex mono" w:cs="Arial"/>
          <w:color w:val="000000"/>
          <w:sz w:val="18"/>
          <w:shd w:val="clear" w:color="auto" w:fill="F8F8FA"/>
        </w:rPr>
        <w:t>AcceptedCmp5</w:t>
      </w:r>
      <w:r>
        <w:rPr>
          <w:rFonts w:hint="default" w:ascii="Arial" w:hAnsi="Arial" w:eastAsia="inter" w:cs="Arial"/>
          <w:color w:val="000000"/>
          <w:sz w:val="21"/>
        </w:rPr>
        <w:t xml:space="preserve"> and </w:t>
      </w:r>
      <w:r>
        <w:rPr>
          <w:rStyle w:val="4"/>
          <w:rFonts w:hint="default" w:ascii="Arial" w:hAnsi="Arial" w:eastAsia="ibm plex mono" w:cs="Arial"/>
          <w:color w:val="000000"/>
          <w:sz w:val="18"/>
          <w:shd w:val="clear" w:color="auto" w:fill="F8F8FA"/>
        </w:rPr>
        <w:t>Response</w:t>
      </w:r>
      <w:r>
        <w:rPr>
          <w:rFonts w:hint="default" w:ascii="Arial" w:hAnsi="Arial" w:eastAsia="inter" w:cs="Arial"/>
          <w:color w:val="000000"/>
          <w:sz w:val="21"/>
        </w:rPr>
        <w:t xml:space="preserve"> flags</w:t>
      </w:r>
    </w:p>
    <w:p w14:paraId="5054A0F8">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Group by campaign name; sum responses and count invitations (2,237 per campaign)</w:t>
      </w:r>
    </w:p>
    <w:p w14:paraId="404CAA77">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 xml:space="preserve">Derive </w:t>
      </w:r>
      <w:r>
        <w:rPr>
          <w:rStyle w:val="4"/>
          <w:rFonts w:hint="default" w:ascii="Arial" w:hAnsi="Arial" w:eastAsia="ibm plex mono" w:cs="Arial"/>
          <w:color w:val="000000"/>
          <w:sz w:val="18"/>
          <w:shd w:val="clear" w:color="auto" w:fill="F8F8FA"/>
        </w:rPr>
        <w:t>Conversion_Rate</w:t>
      </w:r>
      <w:r>
        <w:rPr>
          <w:rFonts w:hint="default" w:ascii="Arial" w:hAnsi="Arial" w:eastAsia="inter" w:cs="Arial"/>
          <w:color w:val="000000"/>
          <w:sz w:val="21"/>
        </w:rPr>
        <w:t xml:space="preserve"> = Responses / Invitations</w:t>
      </w:r>
    </w:p>
    <w:p w14:paraId="521F267D">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Output: Conversion.csv</w:t>
      </w:r>
    </w:p>
    <w:p w14:paraId="2D685AE1">
      <w:pPr>
        <w:numPr>
          <w:ilvl w:val="0"/>
          <w:numId w:val="4"/>
        </w:numPr>
        <w:spacing w:after="210" w:line="360" w:lineRule="auto"/>
        <w:rPr>
          <w:rFonts w:hint="default" w:ascii="Arial" w:hAnsi="Arial" w:cs="Arial"/>
        </w:rPr>
      </w:pPr>
      <w:r>
        <w:rPr>
          <w:rFonts w:hint="default" w:ascii="Arial" w:hAnsi="Arial" w:eastAsia="inter" w:cs="Arial"/>
          <w:b/>
          <w:color w:val="000000"/>
          <w:sz w:val="21"/>
        </w:rPr>
        <w:t>Recency vs. Spend by Income Segment</w:t>
      </w:r>
    </w:p>
    <w:p w14:paraId="305E1F78">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 xml:space="preserve">Group cleaned data by </w:t>
      </w:r>
      <w:r>
        <w:rPr>
          <w:rStyle w:val="4"/>
          <w:rFonts w:hint="default" w:ascii="Arial" w:hAnsi="Arial" w:eastAsia="ibm plex mono" w:cs="Arial"/>
          <w:color w:val="000000"/>
          <w:sz w:val="18"/>
          <w:shd w:val="clear" w:color="auto" w:fill="F8F8FA"/>
        </w:rPr>
        <w:t>Income_Segment</w:t>
      </w:r>
      <w:r>
        <w:rPr>
          <w:rFonts w:hint="default" w:ascii="Arial" w:hAnsi="Arial" w:eastAsia="inter" w:cs="Arial"/>
          <w:color w:val="000000"/>
          <w:sz w:val="21"/>
        </w:rPr>
        <w:t xml:space="preserve">; compute </w:t>
      </w:r>
      <w:r>
        <w:rPr>
          <w:rStyle w:val="4"/>
          <w:rFonts w:hint="default" w:ascii="Arial" w:hAnsi="Arial" w:eastAsia="ibm plex mono" w:cs="Arial"/>
          <w:color w:val="000000"/>
          <w:sz w:val="18"/>
          <w:shd w:val="clear" w:color="auto" w:fill="F8F8FA"/>
        </w:rPr>
        <w:t>Avg_Recency_Segment</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Avg_Spend_Segment</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Count_ID</w:t>
      </w:r>
    </w:p>
    <w:p w14:paraId="385B3FBA">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Output: Recency_Spend.csv</w:t>
      </w:r>
    </w:p>
    <w:p w14:paraId="3A760997">
      <w:pPr>
        <w:numPr>
          <w:ilvl w:val="0"/>
          <w:numId w:val="4"/>
        </w:numPr>
        <w:spacing w:after="210" w:line="360" w:lineRule="auto"/>
        <w:rPr>
          <w:rFonts w:hint="default" w:ascii="Arial" w:hAnsi="Arial" w:cs="Arial"/>
        </w:rPr>
      </w:pPr>
      <w:r>
        <w:rPr>
          <w:rFonts w:hint="default" w:ascii="Arial" w:hAnsi="Arial" w:eastAsia="inter" w:cs="Arial"/>
          <w:b/>
          <w:color w:val="000000"/>
          <w:sz w:val="21"/>
        </w:rPr>
        <w:t>Geographic Spend Summary</w:t>
      </w:r>
    </w:p>
    <w:p w14:paraId="7C12C53F">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 xml:space="preserve">Group by </w:t>
      </w:r>
      <w:r>
        <w:rPr>
          <w:rStyle w:val="4"/>
          <w:rFonts w:hint="default" w:ascii="Arial" w:hAnsi="Arial" w:eastAsia="ibm plex mono" w:cs="Arial"/>
          <w:color w:val="000000"/>
          <w:sz w:val="18"/>
          <w:shd w:val="clear" w:color="auto" w:fill="F8F8FA"/>
        </w:rPr>
        <w:t>Country</w:t>
      </w:r>
      <w:r>
        <w:rPr>
          <w:rFonts w:hint="default" w:ascii="Arial" w:hAnsi="Arial" w:eastAsia="inter" w:cs="Arial"/>
          <w:color w:val="000000"/>
          <w:sz w:val="21"/>
        </w:rPr>
        <w:t xml:space="preserve">; compute </w:t>
      </w:r>
      <w:r>
        <w:rPr>
          <w:rStyle w:val="4"/>
          <w:rFonts w:hint="default" w:ascii="Arial" w:hAnsi="Arial" w:eastAsia="ibm plex mono" w:cs="Arial"/>
          <w:color w:val="000000"/>
          <w:sz w:val="18"/>
          <w:shd w:val="clear" w:color="auto" w:fill="F8F8FA"/>
        </w:rPr>
        <w:t>Spend_By_Country</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Count_By_Country</w:t>
      </w:r>
      <w:r>
        <w:rPr>
          <w:rFonts w:hint="default" w:ascii="Arial" w:hAnsi="Arial" w:eastAsia="inter" w:cs="Arial"/>
          <w:color w:val="000000"/>
          <w:sz w:val="21"/>
        </w:rPr>
        <w:t xml:space="preserve">; derive </w:t>
      </w:r>
      <w:r>
        <w:rPr>
          <w:rStyle w:val="4"/>
          <w:rFonts w:hint="default" w:ascii="Arial" w:hAnsi="Arial" w:eastAsia="ibm plex mono" w:cs="Arial"/>
          <w:color w:val="000000"/>
          <w:sz w:val="18"/>
          <w:shd w:val="clear" w:color="auto" w:fill="F8F8FA"/>
        </w:rPr>
        <w:t>Avg_Spend_By_Country</w:t>
      </w:r>
    </w:p>
    <w:p w14:paraId="790B9AA9">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Output: Geography_Spend.csv</w:t>
      </w:r>
    </w:p>
    <w:p w14:paraId="071858BA">
      <w:pPr>
        <w:numPr>
          <w:ilvl w:val="0"/>
          <w:numId w:val="4"/>
        </w:numPr>
        <w:spacing w:after="210" w:line="360" w:lineRule="auto"/>
        <w:rPr>
          <w:rFonts w:hint="default" w:ascii="Arial" w:hAnsi="Arial" w:cs="Arial"/>
        </w:rPr>
      </w:pPr>
      <w:r>
        <w:rPr>
          <w:rFonts w:hint="default" w:ascii="Arial" w:hAnsi="Arial" w:eastAsia="inter" w:cs="Arial"/>
          <w:b/>
          <w:color w:val="000000"/>
          <w:sz w:val="21"/>
        </w:rPr>
        <w:t>Channel Performance</w:t>
      </w:r>
    </w:p>
    <w:p w14:paraId="4B39E2C7">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Map each purchase channel (</w:t>
      </w:r>
      <w:r>
        <w:rPr>
          <w:rStyle w:val="4"/>
          <w:rFonts w:hint="default" w:ascii="Arial" w:hAnsi="Arial" w:eastAsia="ibm plex mono" w:cs="Arial"/>
          <w:color w:val="000000"/>
          <w:sz w:val="18"/>
          <w:shd w:val="clear" w:color="auto" w:fill="F8F8FA"/>
        </w:rPr>
        <w:t>NumWebPurchases</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NumStorePurchases</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NumCatalogPurchases</w:t>
      </w:r>
      <w:r>
        <w:rPr>
          <w:rFonts w:hint="default" w:ascii="Arial" w:hAnsi="Arial" w:eastAsia="inter" w:cs="Arial"/>
          <w:color w:val="000000"/>
          <w:sz w:val="21"/>
        </w:rPr>
        <w:t>) to a primary channel classification</w:t>
      </w:r>
    </w:p>
    <w:p w14:paraId="30D897F9">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Aggregate by channel: total spend and total campaign responses</w:t>
      </w:r>
    </w:p>
    <w:p w14:paraId="353B5C1C">
      <w:pPr>
        <w:numPr>
          <w:ilvl w:val="1"/>
          <w:numId w:val="4"/>
        </w:numPr>
        <w:spacing w:before="105" w:after="105" w:line="360" w:lineRule="auto"/>
        <w:rPr>
          <w:rFonts w:hint="default" w:ascii="Arial" w:hAnsi="Arial" w:cs="Arial"/>
        </w:rPr>
      </w:pPr>
      <w:r>
        <w:rPr>
          <w:rFonts w:hint="default" w:ascii="Arial" w:hAnsi="Arial" w:eastAsia="inter" w:cs="Arial"/>
          <w:color w:val="000000"/>
          <w:sz w:val="21"/>
        </w:rPr>
        <w:t>Output: Channel_Performance.csv</w:t>
      </w:r>
      <w:bookmarkStart w:id="1" w:name="fnref2"/>
      <w:bookmarkEnd w:id="1"/>
    </w:p>
    <w:p w14:paraId="7BD740DC">
      <w:pPr>
        <w:spacing w:before="315" w:after="105" w:line="360" w:lineRule="auto"/>
        <w:ind w:left="-30"/>
        <w:jc w:val="left"/>
        <w:rPr>
          <w:rFonts w:hint="default" w:ascii="Arial" w:hAnsi="Arial" w:cs="Arial"/>
          <w:sz w:val="28"/>
          <w:szCs w:val="28"/>
        </w:rPr>
      </w:pPr>
      <w:r>
        <w:rPr>
          <w:rFonts w:hint="default" w:ascii="Arial" w:hAnsi="Arial" w:eastAsia="inter" w:cs="Arial"/>
          <w:b/>
          <w:color w:val="000000"/>
          <w:sz w:val="28"/>
          <w:szCs w:val="28"/>
        </w:rPr>
        <w:t>4. Power BI Dashboard Development</w:t>
      </w:r>
    </w:p>
    <w:p w14:paraId="0669E0CC">
      <w:pPr>
        <w:spacing w:before="315" w:after="105" w:line="360" w:lineRule="auto"/>
        <w:ind w:left="-30"/>
        <w:jc w:val="left"/>
        <w:rPr>
          <w:rFonts w:hint="default" w:ascii="Arial" w:hAnsi="Arial" w:cs="Arial"/>
        </w:rPr>
      </w:pPr>
      <w:r>
        <w:rPr>
          <w:rFonts w:hint="default" w:ascii="Arial" w:hAnsi="Arial" w:eastAsia="inter" w:cs="Arial"/>
          <w:b/>
          <w:color w:val="000000"/>
          <w:sz w:val="24"/>
        </w:rPr>
        <w:t>4.1 Data Model Design</w:t>
      </w:r>
    </w:p>
    <w:p w14:paraId="1477394F">
      <w:pPr>
        <w:numPr>
          <w:ilvl w:val="0"/>
          <w:numId w:val="5"/>
        </w:numPr>
        <w:spacing w:before="105" w:after="105" w:line="360" w:lineRule="auto"/>
        <w:rPr>
          <w:rFonts w:hint="default" w:ascii="Arial" w:hAnsi="Arial" w:cs="Arial"/>
        </w:rPr>
      </w:pPr>
      <w:r>
        <w:rPr>
          <w:rFonts w:hint="default" w:ascii="Arial" w:hAnsi="Arial" w:eastAsia="inter" w:cs="Arial"/>
          <w:b/>
          <w:color w:val="000000"/>
          <w:sz w:val="21"/>
        </w:rPr>
        <w:t>Fact Tables</w:t>
      </w:r>
      <w:r>
        <w:rPr>
          <w:rFonts w:hint="default" w:ascii="Arial" w:hAnsi="Arial" w:eastAsia="inter" w:cs="Arial"/>
          <w:color w:val="000000"/>
          <w:sz w:val="21"/>
        </w:rPr>
        <w:t>: Imported all Alteryx output CSVs</w:t>
      </w:r>
    </w:p>
    <w:p w14:paraId="405BABCA">
      <w:pPr>
        <w:numPr>
          <w:ilvl w:val="0"/>
          <w:numId w:val="5"/>
        </w:numPr>
        <w:spacing w:before="105" w:after="105" w:line="360" w:lineRule="auto"/>
        <w:rPr>
          <w:rFonts w:hint="default" w:ascii="Arial" w:hAnsi="Arial" w:cs="Arial"/>
        </w:rPr>
      </w:pPr>
      <w:r>
        <w:rPr>
          <w:rFonts w:hint="default" w:ascii="Arial" w:hAnsi="Arial" w:eastAsia="inter" w:cs="Arial"/>
          <w:b/>
          <w:color w:val="000000"/>
          <w:sz w:val="21"/>
        </w:rPr>
        <w:t>Dimension Tables</w:t>
      </w:r>
      <w:r>
        <w:rPr>
          <w:rFonts w:hint="default" w:ascii="Arial" w:hAnsi="Arial" w:eastAsia="inter" w:cs="Arial"/>
          <w:color w:val="000000"/>
          <w:sz w:val="21"/>
        </w:rPr>
        <w:t xml:space="preserve">: Created via DAX </w:t>
      </w:r>
      <w:r>
        <w:rPr>
          <w:rStyle w:val="4"/>
          <w:rFonts w:hint="default" w:ascii="Arial" w:hAnsi="Arial" w:eastAsia="ibm plex mono" w:cs="Arial"/>
          <w:color w:val="000000"/>
          <w:sz w:val="18"/>
          <w:shd w:val="clear" w:color="auto" w:fill="F8F8FA"/>
        </w:rPr>
        <w:t>DISTINCT()</w:t>
      </w:r>
      <w:r>
        <w:rPr>
          <w:rFonts w:hint="default" w:ascii="Arial" w:hAnsi="Arial" w:eastAsia="inter" w:cs="Arial"/>
          <w:color w:val="000000"/>
          <w:sz w:val="21"/>
        </w:rPr>
        <w:t xml:space="preserve"> for </w:t>
      </w:r>
      <w:r>
        <w:rPr>
          <w:rStyle w:val="4"/>
          <w:rFonts w:hint="default" w:ascii="Arial" w:hAnsi="Arial" w:eastAsia="ibm plex mono" w:cs="Arial"/>
          <w:color w:val="000000"/>
          <w:sz w:val="18"/>
          <w:shd w:val="clear" w:color="auto" w:fill="F8F8FA"/>
        </w:rPr>
        <w:t>Education_Level</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Income_Segment</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Country</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Channel</w:t>
      </w:r>
      <w:r>
        <w:rPr>
          <w:rFonts w:hint="default" w:ascii="Arial" w:hAnsi="Arial" w:eastAsia="inter" w:cs="Arial"/>
          <w:color w:val="000000"/>
          <w:sz w:val="21"/>
        </w:rPr>
        <w:t xml:space="preserve">, </w:t>
      </w:r>
      <w:r>
        <w:rPr>
          <w:rStyle w:val="4"/>
          <w:rFonts w:hint="default" w:ascii="Arial" w:hAnsi="Arial" w:eastAsia="ibm plex mono" w:cs="Arial"/>
          <w:color w:val="000000"/>
          <w:sz w:val="18"/>
          <w:shd w:val="clear" w:color="auto" w:fill="F8F8FA"/>
        </w:rPr>
        <w:t>Age_Group</w:t>
      </w:r>
    </w:p>
    <w:p w14:paraId="4B48A542">
      <w:pPr>
        <w:numPr>
          <w:ilvl w:val="0"/>
          <w:numId w:val="5"/>
        </w:numPr>
        <w:spacing w:before="105" w:after="105" w:line="360" w:lineRule="auto"/>
        <w:rPr>
          <w:rFonts w:hint="default" w:ascii="Arial" w:hAnsi="Arial" w:cs="Arial"/>
        </w:rPr>
      </w:pPr>
      <w:r>
        <w:rPr>
          <w:rFonts w:hint="default" w:ascii="Arial" w:hAnsi="Arial" w:eastAsia="inter" w:cs="Arial"/>
          <w:b/>
          <w:color w:val="000000"/>
          <w:sz w:val="21"/>
        </w:rPr>
        <w:t>Relationships</w:t>
      </w:r>
      <w:r>
        <w:rPr>
          <w:rFonts w:hint="default" w:ascii="Arial" w:hAnsi="Arial" w:eastAsia="inter" w:cs="Arial"/>
          <w:color w:val="000000"/>
          <w:sz w:val="21"/>
        </w:rPr>
        <w:t>: One-to-many from each dimension to fact tables, enabling unified filtering and cross-visual interactions.</w:t>
      </w:r>
    </w:p>
    <w:p w14:paraId="188B9EE8">
      <w:pPr>
        <w:spacing w:before="315" w:after="105" w:line="360" w:lineRule="auto"/>
        <w:ind w:left="-30"/>
        <w:jc w:val="left"/>
        <w:rPr>
          <w:rFonts w:hint="default" w:ascii="Arial" w:hAnsi="Arial" w:cs="Arial"/>
        </w:rPr>
      </w:pPr>
      <w:r>
        <w:rPr>
          <w:rFonts w:hint="default" w:ascii="Arial" w:hAnsi="Arial" w:eastAsia="inter" w:cs="Arial"/>
          <w:b/>
          <w:color w:val="000000"/>
          <w:sz w:val="24"/>
        </w:rPr>
        <w:t>4.2 Visual Layout &amp; Elements</w:t>
      </w:r>
    </w:p>
    <w:p w14:paraId="2CBEBD59">
      <w:pPr>
        <w:numPr>
          <w:ilvl w:val="0"/>
          <w:numId w:val="6"/>
        </w:numPr>
        <w:spacing w:after="210" w:line="360" w:lineRule="auto"/>
        <w:rPr>
          <w:rFonts w:hint="default" w:ascii="Arial" w:hAnsi="Arial" w:cs="Arial"/>
        </w:rPr>
      </w:pPr>
      <w:r>
        <w:rPr>
          <w:rFonts w:hint="default" w:ascii="Arial" w:hAnsi="Arial" w:eastAsia="inter" w:cs="Arial"/>
          <w:b/>
          <w:color w:val="000000"/>
          <w:sz w:val="21"/>
        </w:rPr>
        <w:t>Executive KPI Panel</w:t>
      </w:r>
    </w:p>
    <w:p w14:paraId="75EB2702">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Total Customers (2,237 distinct IDs)</w:t>
      </w:r>
    </w:p>
    <w:p w14:paraId="233E86FE">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Total Campaign Responses (666)</w:t>
      </w:r>
    </w:p>
    <w:p w14:paraId="7210944E">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Total Spend (₹1,355,048)</w:t>
      </w:r>
    </w:p>
    <w:p w14:paraId="3AEC8013">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Overall Conversion Rate (29.77%)</w:t>
      </w:r>
    </w:p>
    <w:p w14:paraId="5B0E7491">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Top Spending Country (Spain)</w:t>
      </w:r>
    </w:p>
    <w:p w14:paraId="046DB500">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Top Performing Campaign (Campaign 4: 7.46%)</w:t>
      </w:r>
    </w:p>
    <w:p w14:paraId="044BCC7A">
      <w:pPr>
        <w:numPr>
          <w:ilvl w:val="0"/>
          <w:numId w:val="6"/>
        </w:numPr>
        <w:spacing w:after="210" w:line="360" w:lineRule="auto"/>
        <w:rPr>
          <w:rFonts w:hint="default" w:ascii="Arial" w:hAnsi="Arial" w:cs="Arial"/>
        </w:rPr>
      </w:pPr>
      <w:r>
        <w:rPr>
          <w:rFonts w:hint="default" w:ascii="Arial" w:hAnsi="Arial" w:eastAsia="inter" w:cs="Arial"/>
          <w:b/>
          <w:color w:val="000000"/>
          <w:sz w:val="21"/>
        </w:rPr>
        <w:t>Segment Analysis</w:t>
      </w:r>
    </w:p>
    <w:p w14:paraId="48D6445D">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Bar charts for Spend by Education Level and Spend by Income Segment [Edu_Spend.csv][Recency_Spend.csv]</w:t>
      </w:r>
    </w:p>
    <w:p w14:paraId="1B2435A7">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Combo chart: Total Spend by Age Group with line for Average Spend per Customer</w:t>
      </w:r>
    </w:p>
    <w:p w14:paraId="263D6DEB">
      <w:pPr>
        <w:numPr>
          <w:ilvl w:val="0"/>
          <w:numId w:val="6"/>
        </w:numPr>
        <w:spacing w:after="210" w:line="360" w:lineRule="auto"/>
        <w:rPr>
          <w:rFonts w:hint="default" w:ascii="Arial" w:hAnsi="Arial" w:cs="Arial"/>
        </w:rPr>
      </w:pPr>
      <w:r>
        <w:rPr>
          <w:rFonts w:hint="default" w:ascii="Arial" w:hAnsi="Arial" w:eastAsia="inter" w:cs="Arial"/>
          <w:b/>
          <w:color w:val="000000"/>
          <w:sz w:val="21"/>
        </w:rPr>
        <w:t>Geographic Insights</w:t>
      </w:r>
    </w:p>
    <w:p w14:paraId="44BD1D9A">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Choropleth map of Spend_By_Country [Geography_Spend.csv] with tooltip showing count and average spend</w:t>
      </w:r>
    </w:p>
    <w:p w14:paraId="2C285308">
      <w:pPr>
        <w:numPr>
          <w:ilvl w:val="0"/>
          <w:numId w:val="6"/>
        </w:numPr>
        <w:spacing w:after="210" w:line="360" w:lineRule="auto"/>
        <w:rPr>
          <w:rFonts w:hint="default" w:ascii="Arial" w:hAnsi="Arial" w:cs="Arial"/>
        </w:rPr>
      </w:pPr>
      <w:r>
        <w:rPr>
          <w:rFonts w:hint="default" w:ascii="Arial" w:hAnsi="Arial" w:eastAsia="inter" w:cs="Arial"/>
          <w:b/>
          <w:color w:val="000000"/>
          <w:sz w:val="21"/>
        </w:rPr>
        <w:t>Campaign &amp; Channel Performance</w:t>
      </w:r>
    </w:p>
    <w:p w14:paraId="658F68E2">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Clustered bar for Conversion_Rate by campaign [Conversion.csv]</w:t>
      </w:r>
    </w:p>
    <w:p w14:paraId="3DF269BC">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Pie chart for Conversion_Rate by channel [Channel_Performance.csv]</w:t>
      </w:r>
    </w:p>
    <w:p w14:paraId="60779D54">
      <w:pPr>
        <w:numPr>
          <w:ilvl w:val="0"/>
          <w:numId w:val="6"/>
        </w:numPr>
        <w:spacing w:after="210" w:line="360" w:lineRule="auto"/>
        <w:rPr>
          <w:rFonts w:hint="default" w:ascii="Arial" w:hAnsi="Arial" w:cs="Arial"/>
        </w:rPr>
      </w:pPr>
      <w:r>
        <w:rPr>
          <w:rFonts w:hint="default" w:ascii="Arial" w:hAnsi="Arial" w:eastAsia="inter" w:cs="Arial"/>
          <w:b/>
          <w:color w:val="000000"/>
          <w:sz w:val="21"/>
        </w:rPr>
        <w:t>Recency vs. Spend Scatter</w:t>
      </w:r>
    </w:p>
    <w:p w14:paraId="1FBD5D16">
      <w:pPr>
        <w:numPr>
          <w:ilvl w:val="1"/>
          <w:numId w:val="6"/>
        </w:numPr>
        <w:spacing w:before="105" w:after="105" w:line="360" w:lineRule="auto"/>
        <w:rPr>
          <w:rFonts w:hint="default" w:ascii="Arial" w:hAnsi="Arial" w:cs="Arial"/>
        </w:rPr>
      </w:pPr>
      <w:r>
        <w:rPr>
          <w:rFonts w:hint="default" w:ascii="Arial" w:hAnsi="Arial" w:eastAsia="inter" w:cs="Arial"/>
          <w:color w:val="000000"/>
          <w:sz w:val="21"/>
        </w:rPr>
        <w:t>Scatter plot of Avg_Recency_Segment vs Avg_Spend_Segment by Income_Segment, with point size = Count_ID; trend line disabled due to negligible correlation [Recency_Spend.csv]</w:t>
      </w:r>
    </w:p>
    <w:p w14:paraId="5D68A691">
      <w:pPr>
        <w:spacing w:before="315" w:after="105" w:line="360" w:lineRule="auto"/>
        <w:ind w:left="-30"/>
        <w:jc w:val="left"/>
        <w:rPr>
          <w:rFonts w:hint="default" w:ascii="Arial" w:hAnsi="Arial" w:cs="Arial"/>
        </w:rPr>
      </w:pPr>
      <w:r>
        <w:rPr>
          <w:rFonts w:hint="default" w:ascii="Arial" w:hAnsi="Arial" w:eastAsia="inter" w:cs="Arial"/>
          <w:b/>
          <w:color w:val="000000"/>
          <w:sz w:val="24"/>
        </w:rPr>
        <w:t>4.3 Interactivity Features</w:t>
      </w:r>
    </w:p>
    <w:p w14:paraId="43E08F57">
      <w:pPr>
        <w:numPr>
          <w:ilvl w:val="0"/>
          <w:numId w:val="7"/>
        </w:numPr>
        <w:spacing w:before="105" w:after="105" w:line="360" w:lineRule="auto"/>
        <w:rPr>
          <w:rFonts w:hint="default" w:ascii="Arial" w:hAnsi="Arial" w:cs="Arial"/>
        </w:rPr>
      </w:pPr>
      <w:r>
        <w:rPr>
          <w:rFonts w:hint="default" w:ascii="Arial" w:hAnsi="Arial" w:eastAsia="inter" w:cs="Arial"/>
          <w:b/>
          <w:color w:val="000000"/>
          <w:sz w:val="21"/>
        </w:rPr>
        <w:t>Slicers</w:t>
      </w:r>
      <w:r>
        <w:rPr>
          <w:rFonts w:hint="default" w:ascii="Arial" w:hAnsi="Arial" w:eastAsia="inter" w:cs="Arial"/>
          <w:color w:val="000000"/>
          <w:sz w:val="21"/>
        </w:rPr>
        <w:t>: Income Segment, Education Level, Country, Channel</w:t>
      </w:r>
    </w:p>
    <w:p w14:paraId="6C352D43">
      <w:pPr>
        <w:numPr>
          <w:ilvl w:val="0"/>
          <w:numId w:val="7"/>
        </w:numPr>
        <w:spacing w:before="105" w:after="105" w:line="360" w:lineRule="auto"/>
        <w:rPr>
          <w:rFonts w:hint="default" w:ascii="Arial" w:hAnsi="Arial" w:cs="Arial"/>
        </w:rPr>
      </w:pPr>
      <w:r>
        <w:rPr>
          <w:rFonts w:hint="default" w:ascii="Arial" w:hAnsi="Arial" w:eastAsia="inter" w:cs="Arial"/>
          <w:b/>
          <w:color w:val="000000"/>
          <w:sz w:val="21"/>
        </w:rPr>
        <w:t>Drill-through</w:t>
      </w:r>
      <w:r>
        <w:rPr>
          <w:rFonts w:hint="default" w:ascii="Arial" w:hAnsi="Arial" w:eastAsia="inter" w:cs="Arial"/>
          <w:color w:val="000000"/>
          <w:sz w:val="21"/>
        </w:rPr>
        <w:t>: From KPI cards to detailed segment pages showing underlying data</w:t>
      </w:r>
    </w:p>
    <w:p w14:paraId="5AAFBF1E">
      <w:pPr>
        <w:numPr>
          <w:ilvl w:val="0"/>
          <w:numId w:val="7"/>
        </w:numPr>
        <w:spacing w:before="105" w:after="105" w:line="360" w:lineRule="auto"/>
        <w:rPr>
          <w:rFonts w:hint="default" w:ascii="Arial" w:hAnsi="Arial" w:cs="Arial"/>
        </w:rPr>
      </w:pPr>
      <w:r>
        <w:rPr>
          <w:rFonts w:hint="default" w:ascii="Arial" w:hAnsi="Arial" w:eastAsia="inter" w:cs="Arial"/>
          <w:b/>
          <w:color w:val="000000"/>
          <w:sz w:val="21"/>
        </w:rPr>
        <w:t>Tooltips</w:t>
      </w:r>
      <w:r>
        <w:rPr>
          <w:rFonts w:hint="default" w:ascii="Arial" w:hAnsi="Arial" w:eastAsia="inter" w:cs="Arial"/>
          <w:color w:val="000000"/>
          <w:sz w:val="21"/>
        </w:rPr>
        <w:t>: Enhanced with customer count, recency, and average spend for context</w:t>
      </w:r>
    </w:p>
    <w:p w14:paraId="2578A005">
      <w:pPr>
        <w:numPr>
          <w:numId w:val="0"/>
        </w:numPr>
        <w:spacing w:before="105" w:after="105" w:line="360" w:lineRule="auto"/>
        <w:ind w:left="180" w:leftChars="0"/>
        <w:rPr>
          <w:rFonts w:hint="default" w:ascii="Arial" w:hAnsi="Arial" w:cs="Arial"/>
        </w:rPr>
      </w:pPr>
    </w:p>
    <w:p w14:paraId="7DB6B95C">
      <w:pPr>
        <w:spacing w:before="315" w:after="105" w:line="360" w:lineRule="auto"/>
        <w:ind w:left="-30"/>
        <w:jc w:val="left"/>
        <w:rPr>
          <w:rFonts w:hint="default" w:ascii="Arial" w:hAnsi="Arial" w:cs="Arial"/>
          <w:sz w:val="28"/>
          <w:szCs w:val="28"/>
        </w:rPr>
      </w:pPr>
      <w:r>
        <w:rPr>
          <w:rFonts w:hint="default" w:ascii="Arial" w:hAnsi="Arial" w:eastAsia="inter" w:cs="Arial"/>
          <w:b/>
          <w:color w:val="000000"/>
          <w:sz w:val="28"/>
          <w:szCs w:val="28"/>
        </w:rPr>
        <w:t>5. Comprehensive Findings</w:t>
      </w:r>
    </w:p>
    <w:p w14:paraId="16653D4C">
      <w:pPr>
        <w:numPr>
          <w:ilvl w:val="0"/>
          <w:numId w:val="8"/>
        </w:numPr>
        <w:spacing w:before="105" w:after="105" w:line="360" w:lineRule="auto"/>
        <w:rPr>
          <w:rFonts w:hint="default" w:ascii="Arial" w:hAnsi="Arial" w:cs="Arial"/>
        </w:rPr>
      </w:pPr>
      <w:r>
        <w:rPr>
          <w:rFonts w:hint="default" w:ascii="Arial" w:hAnsi="Arial" w:eastAsia="inter" w:cs="Arial"/>
          <w:b/>
          <w:color w:val="000000"/>
          <w:sz w:val="21"/>
        </w:rPr>
        <w:t>High Income</w:t>
      </w:r>
      <w:r>
        <w:rPr>
          <w:rFonts w:hint="default" w:ascii="Arial" w:hAnsi="Arial" w:eastAsia="inter" w:cs="Arial"/>
          <w:color w:val="000000"/>
          <w:sz w:val="21"/>
        </w:rPr>
        <w:t xml:space="preserve"> customers (826) drive ~74% of total spend with ₹1,216.95 avg spend.</w:t>
      </w:r>
      <w:bookmarkStart w:id="2" w:name="fnref3"/>
      <w:bookmarkEnd w:id="2"/>
      <w:r>
        <w:rPr>
          <w:rFonts w:hint="default" w:ascii="Arial" w:hAnsi="Arial" w:cs="Arial"/>
        </w:rPr>
        <w:fldChar w:fldCharType="begin"/>
      </w:r>
      <w:r>
        <w:rPr>
          <w:rFonts w:hint="default" w:ascii="Arial" w:hAnsi="Arial" w:cs="Arial"/>
        </w:rPr>
        <w:instrText xml:space="preserve"> HYPERLINK \l "fn3" \h </w:instrText>
      </w:r>
      <w:r>
        <w:rPr>
          <w:rFonts w:hint="default" w:ascii="Arial" w:hAnsi="Arial" w:cs="Arial"/>
        </w:rPr>
        <w:fldChar w:fldCharType="separate"/>
      </w:r>
      <w:r>
        <w:rPr>
          <w:rFonts w:hint="default" w:ascii="Arial" w:hAnsi="Arial" w:eastAsia="inter" w:cs="Arial"/>
          <w:color w:val="000000"/>
          <w:sz w:val="21"/>
          <w:u w:val="single"/>
          <w:vertAlign w:val="superscript"/>
        </w:rPr>
        <w:t>[3]</w:t>
      </w:r>
      <w:r>
        <w:rPr>
          <w:rFonts w:hint="default" w:ascii="Arial" w:hAnsi="Arial" w:eastAsia="inter" w:cs="Arial"/>
          <w:color w:val="000000"/>
          <w:sz w:val="21"/>
          <w:u w:val="single"/>
          <w:vertAlign w:val="superscript"/>
        </w:rPr>
        <w:fldChar w:fldCharType="end"/>
      </w:r>
    </w:p>
    <w:p w14:paraId="076136D5">
      <w:pPr>
        <w:numPr>
          <w:ilvl w:val="0"/>
          <w:numId w:val="8"/>
        </w:numPr>
        <w:spacing w:before="105" w:after="105" w:line="360" w:lineRule="auto"/>
        <w:rPr>
          <w:rFonts w:hint="default" w:ascii="Arial" w:hAnsi="Arial" w:cs="Arial"/>
        </w:rPr>
      </w:pPr>
      <w:r>
        <w:rPr>
          <w:rFonts w:hint="default" w:ascii="Arial" w:hAnsi="Arial" w:eastAsia="inter" w:cs="Arial"/>
          <w:b/>
          <w:color w:val="000000"/>
          <w:sz w:val="21"/>
        </w:rPr>
        <w:t>Campaigns 3–5</w:t>
      </w:r>
      <w:r>
        <w:rPr>
          <w:rFonts w:hint="default" w:ascii="Arial" w:hAnsi="Arial" w:eastAsia="inter" w:cs="Arial"/>
          <w:color w:val="000000"/>
          <w:sz w:val="21"/>
        </w:rPr>
        <w:t xml:space="preserve"> (7.29%–7.46% conversions) outperform others; campaign 2 underperforms at 1.34%.</w:t>
      </w:r>
      <w:bookmarkStart w:id="3" w:name="fnref4"/>
      <w:bookmarkEnd w:id="3"/>
      <w:r>
        <w:rPr>
          <w:rFonts w:hint="default" w:ascii="Arial" w:hAnsi="Arial" w:cs="Arial"/>
        </w:rPr>
        <w:fldChar w:fldCharType="begin"/>
      </w:r>
      <w:r>
        <w:rPr>
          <w:rFonts w:hint="default" w:ascii="Arial" w:hAnsi="Arial" w:cs="Arial"/>
        </w:rPr>
        <w:instrText xml:space="preserve"> HYPERLINK \l "fn4" \h </w:instrText>
      </w:r>
      <w:r>
        <w:rPr>
          <w:rFonts w:hint="default" w:ascii="Arial" w:hAnsi="Arial" w:cs="Arial"/>
        </w:rPr>
        <w:fldChar w:fldCharType="separate"/>
      </w:r>
      <w:r>
        <w:rPr>
          <w:rFonts w:hint="default" w:ascii="Arial" w:hAnsi="Arial" w:eastAsia="inter" w:cs="Arial"/>
          <w:color w:val="000000"/>
          <w:sz w:val="21"/>
          <w:u w:val="single"/>
          <w:vertAlign w:val="superscript"/>
        </w:rPr>
        <w:t>[4]</w:t>
      </w:r>
      <w:r>
        <w:rPr>
          <w:rFonts w:hint="default" w:ascii="Arial" w:hAnsi="Arial" w:eastAsia="inter" w:cs="Arial"/>
          <w:color w:val="000000"/>
          <w:sz w:val="21"/>
          <w:u w:val="single"/>
          <w:vertAlign w:val="superscript"/>
        </w:rPr>
        <w:fldChar w:fldCharType="end"/>
      </w:r>
    </w:p>
    <w:p w14:paraId="6F1801B4">
      <w:pPr>
        <w:numPr>
          <w:ilvl w:val="0"/>
          <w:numId w:val="8"/>
        </w:numPr>
        <w:spacing w:before="105" w:after="105" w:line="360" w:lineRule="auto"/>
        <w:rPr>
          <w:rFonts w:hint="default" w:ascii="Arial" w:hAnsi="Arial" w:cs="Arial"/>
        </w:rPr>
      </w:pPr>
      <w:r>
        <w:rPr>
          <w:rFonts w:hint="default" w:ascii="Arial" w:hAnsi="Arial" w:eastAsia="inter" w:cs="Arial"/>
          <w:b/>
          <w:color w:val="000000"/>
          <w:sz w:val="21"/>
        </w:rPr>
        <w:t>Spain</w:t>
      </w:r>
      <w:r>
        <w:rPr>
          <w:rFonts w:hint="default" w:ascii="Arial" w:hAnsi="Arial" w:eastAsia="inter" w:cs="Arial"/>
          <w:color w:val="000000"/>
          <w:sz w:val="21"/>
        </w:rPr>
        <w:t xml:space="preserve"> and </w:t>
      </w:r>
      <w:r>
        <w:rPr>
          <w:rFonts w:hint="default" w:ascii="Arial" w:hAnsi="Arial" w:eastAsia="inter" w:cs="Arial"/>
          <w:b/>
          <w:color w:val="000000"/>
          <w:sz w:val="21"/>
        </w:rPr>
        <w:t>Saudi Arabia</w:t>
      </w:r>
      <w:r>
        <w:rPr>
          <w:rFonts w:hint="default" w:ascii="Arial" w:hAnsi="Arial" w:eastAsia="inter" w:cs="Arial"/>
          <w:color w:val="000000"/>
          <w:sz w:val="21"/>
        </w:rPr>
        <w:t xml:space="preserve"> lead in total spend; </w:t>
      </w:r>
      <w:r>
        <w:rPr>
          <w:rFonts w:hint="default" w:ascii="Arial" w:hAnsi="Arial" w:eastAsia="inter" w:cs="Arial"/>
          <w:b/>
          <w:color w:val="000000"/>
          <w:sz w:val="21"/>
        </w:rPr>
        <w:t>Mexico</w:t>
      </w:r>
      <w:r>
        <w:rPr>
          <w:rFonts w:hint="default" w:ascii="Arial" w:hAnsi="Arial" w:eastAsia="inter" w:cs="Arial"/>
          <w:color w:val="000000"/>
          <w:sz w:val="21"/>
        </w:rPr>
        <w:t xml:space="preserve"> scores highest avg spend per customer (₹1,040.67) but needs volume growth.</w:t>
      </w:r>
      <w:bookmarkStart w:id="4" w:name="fnref1:1"/>
      <w:bookmarkEnd w:id="4"/>
      <w:r>
        <w:rPr>
          <w:rFonts w:hint="default" w:ascii="Arial" w:hAnsi="Arial" w:cs="Arial"/>
        </w:rPr>
        <w:fldChar w:fldCharType="begin"/>
      </w:r>
      <w:r>
        <w:rPr>
          <w:rFonts w:hint="default" w:ascii="Arial" w:hAnsi="Arial" w:cs="Arial"/>
        </w:rPr>
        <w:instrText xml:space="preserve"> HYPERLINK \l "fn1" \h </w:instrText>
      </w:r>
      <w:r>
        <w:rPr>
          <w:rFonts w:hint="default" w:ascii="Arial" w:hAnsi="Arial" w:cs="Arial"/>
        </w:rPr>
        <w:fldChar w:fldCharType="separate"/>
      </w:r>
      <w:r>
        <w:rPr>
          <w:rFonts w:hint="default" w:ascii="Arial" w:hAnsi="Arial" w:eastAsia="inter" w:cs="Arial"/>
          <w:color w:val="000000"/>
          <w:sz w:val="21"/>
          <w:u w:val="single"/>
          <w:vertAlign w:val="superscript"/>
        </w:rPr>
        <w:t>[1]</w:t>
      </w:r>
      <w:r>
        <w:rPr>
          <w:rFonts w:hint="default" w:ascii="Arial" w:hAnsi="Arial" w:eastAsia="inter" w:cs="Arial"/>
          <w:color w:val="000000"/>
          <w:sz w:val="21"/>
          <w:u w:val="single"/>
          <w:vertAlign w:val="superscript"/>
        </w:rPr>
        <w:fldChar w:fldCharType="end"/>
      </w:r>
    </w:p>
    <w:p w14:paraId="4331CB86">
      <w:pPr>
        <w:numPr>
          <w:ilvl w:val="0"/>
          <w:numId w:val="8"/>
        </w:numPr>
        <w:spacing w:before="105" w:after="105" w:line="360" w:lineRule="auto"/>
        <w:rPr>
          <w:rFonts w:hint="default" w:ascii="Arial" w:hAnsi="Arial" w:cs="Arial"/>
        </w:rPr>
      </w:pPr>
      <w:r>
        <w:rPr>
          <w:rFonts w:hint="default" w:ascii="Arial" w:hAnsi="Arial" w:eastAsia="inter" w:cs="Arial"/>
          <w:b/>
          <w:color w:val="000000"/>
          <w:sz w:val="21"/>
        </w:rPr>
        <w:t>Age Groups 50–64 and 65+</w:t>
      </w:r>
      <w:r>
        <w:rPr>
          <w:rFonts w:hint="default" w:ascii="Arial" w:hAnsi="Arial" w:eastAsia="inter" w:cs="Arial"/>
          <w:color w:val="000000"/>
          <w:sz w:val="21"/>
        </w:rPr>
        <w:t xml:space="preserve"> constitute 75% of total spend, highlighting mature demographics.</w:t>
      </w:r>
    </w:p>
    <w:p w14:paraId="1188DED7">
      <w:pPr>
        <w:numPr>
          <w:ilvl w:val="0"/>
          <w:numId w:val="8"/>
        </w:numPr>
        <w:spacing w:before="105" w:after="105" w:line="360" w:lineRule="auto"/>
        <w:rPr>
          <w:rFonts w:hint="default" w:ascii="Arial" w:hAnsi="Arial" w:cs="Arial"/>
        </w:rPr>
      </w:pPr>
      <w:r>
        <w:rPr>
          <w:rFonts w:hint="default" w:ascii="Arial" w:hAnsi="Arial" w:eastAsia="inter" w:cs="Arial"/>
          <w:b/>
          <w:color w:val="000000"/>
          <w:sz w:val="21"/>
        </w:rPr>
        <w:t>Recency</w:t>
      </w:r>
      <w:r>
        <w:rPr>
          <w:rFonts w:hint="default" w:ascii="Arial" w:hAnsi="Arial" w:eastAsia="inter" w:cs="Arial"/>
          <w:color w:val="000000"/>
          <w:sz w:val="21"/>
        </w:rPr>
        <w:t xml:space="preserve"> is uniform (~4,440 days) across segments, indicating potential opportunity for re-engagement campaigns targeting at-risk cohorts.</w:t>
      </w:r>
    </w:p>
    <w:p w14:paraId="3E109879">
      <w:pPr>
        <w:spacing w:before="210" w:after="0" w:line="360" w:lineRule="auto"/>
        <w:rPr>
          <w:rFonts w:hint="default" w:ascii="Arial" w:hAnsi="Arial" w:cs="Arial"/>
        </w:rPr>
      </w:pPr>
    </w:p>
    <w:p w14:paraId="140370D3">
      <w:pPr>
        <w:spacing w:after="210" w:line="360" w:lineRule="auto"/>
        <w:rPr>
          <w:rFonts w:hint="default" w:ascii="Arial" w:hAnsi="Arial" w:cs="Arial"/>
        </w:rPr>
      </w:pPr>
      <w:r>
        <w:rPr>
          <w:rFonts w:hint="default" w:ascii="Arial" w:hAnsi="Arial" w:eastAsia="inter" w:cs="Arial"/>
          <w:color w:val="000000"/>
        </w:rPr>
        <w:t>This detailed methodology and implementation report documents each transformation, aggregation, and visualization step, ensuring transparency, reproducibility, and clear alignment with business objectives.</w:t>
      </w: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ibm plex mono">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Dubai">
    <w:panose1 w:val="020B0503030403030204"/>
    <w:charset w:val="00"/>
    <w:family w:val="auto"/>
    <w:pitch w:val="default"/>
    <w:sig w:usb0="80002067" w:usb1="80000000" w:usb2="00000008" w:usb3="00000000" w:csb0="2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pPr>
        <w:tabs>
          <w:tab w:val="left" w:pos="900"/>
        </w:tabs>
        <w:ind w:left="540" w:hanging="360"/>
      </w:pPr>
      <w:rPr>
        <w:rFonts w:hint="default" w:ascii="Symbol" w:hAnsi="Symbol"/>
      </w:rPr>
    </w:lvl>
  </w:abstractNum>
  <w:abstractNum w:abstractNumId="1">
    <w:nsid w:val="C8879AEF"/>
    <w:multiLevelType w:val="multilevel"/>
    <w:tmpl w:val="C8879AEF"/>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abstractNum>
  <w:abstractNum w:abstractNumId="2">
    <w:nsid w:val="DCBA6B53"/>
    <w:multiLevelType w:val="singleLevel"/>
    <w:tmpl w:val="DCBA6B53"/>
    <w:lvl w:ilvl="0" w:tentative="0">
      <w:start w:val="1"/>
      <w:numFmt w:val="decimal"/>
      <w:lvlText w:val="%1."/>
      <w:lvlJc w:val="left"/>
      <w:pPr>
        <w:tabs>
          <w:tab w:val="left" w:pos="900"/>
        </w:tabs>
        <w:ind w:left="540" w:hanging="360"/>
      </w:pPr>
    </w:lvl>
  </w:abstractNum>
  <w:abstractNum w:abstractNumId="3">
    <w:nsid w:val="F4B5D9F5"/>
    <w:multiLevelType w:val="multilevel"/>
    <w:tmpl w:val="F4B5D9F5"/>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abstractNum>
  <w:abstractNum w:abstractNumId="4">
    <w:nsid w:val="2470EC97"/>
    <w:multiLevelType w:val="singleLevel"/>
    <w:tmpl w:val="2470EC97"/>
    <w:lvl w:ilvl="0" w:tentative="0">
      <w:start w:val="1"/>
      <w:numFmt w:val="bullet"/>
      <w:lvlText w:val=""/>
      <w:lvlJc w:val="left"/>
      <w:pPr>
        <w:tabs>
          <w:tab w:val="left" w:pos="900"/>
        </w:tabs>
        <w:ind w:left="540" w:hanging="360"/>
      </w:pPr>
      <w:rPr>
        <w:rFonts w:hint="default" w:ascii="Symbol" w:hAnsi="Symbol"/>
      </w:rPr>
    </w:lvl>
  </w:abstractNum>
  <w:abstractNum w:abstractNumId="5">
    <w:nsid w:val="2A8F537B"/>
    <w:multiLevelType w:val="multilevel"/>
    <w:tmpl w:val="2A8F537B"/>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abstractNum>
  <w:abstractNum w:abstractNumId="6">
    <w:nsid w:val="4D4DC07F"/>
    <w:multiLevelType w:val="singleLevel"/>
    <w:tmpl w:val="4D4DC07F"/>
    <w:lvl w:ilvl="0" w:tentative="0">
      <w:start w:val="1"/>
      <w:numFmt w:val="bullet"/>
      <w:lvlText w:val=""/>
      <w:lvlJc w:val="left"/>
      <w:pPr>
        <w:tabs>
          <w:tab w:val="left" w:pos="900"/>
        </w:tabs>
        <w:ind w:left="540" w:hanging="360"/>
      </w:pPr>
      <w:rPr>
        <w:rFonts w:hint="default" w:ascii="Symbol" w:hAnsi="Symbol"/>
      </w:rPr>
    </w:lvl>
  </w:abstractNum>
  <w:abstractNum w:abstractNumId="7">
    <w:nsid w:val="5A241D34"/>
    <w:multiLevelType w:val="singleLevel"/>
    <w:tmpl w:val="5A241D34"/>
    <w:lvl w:ilvl="0" w:tentative="0">
      <w:start w:val="1"/>
      <w:numFmt w:val="bullet"/>
      <w:lvlText w:val=""/>
      <w:lvlJc w:val="left"/>
      <w:pPr>
        <w:tabs>
          <w:tab w:val="left" w:pos="900"/>
        </w:tabs>
        <w:ind w:left="540" w:hanging="360"/>
      </w:pPr>
      <w:rPr>
        <w:rFonts w:hint="default" w:ascii="Symbol" w:hAnsi="Symbol"/>
      </w:rPr>
    </w:lvl>
  </w:abstractNum>
  <w:num w:numId="1">
    <w:abstractNumId w:val="0"/>
  </w:num>
  <w:num w:numId="2">
    <w:abstractNumId w:val="5"/>
  </w:num>
  <w:num w:numId="3">
    <w:abstractNumId w:val="7"/>
  </w:num>
  <w:num w:numId="4">
    <w:abstractNumId w:val="1"/>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AF81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Verbatim Char"/>
    <w:uiPriority w:val="0"/>
    <w:rPr>
      <w:rFonts w:ascii="Consolas" w:hAnsi="Consolas"/>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TotalTime>4</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2025-09-08T17:59:00Z</dcterms:created>
  <dc:creator>html-to-docx</dc:creator>
  <cp:keywords>html-to-docx</cp:keywords>
  <cp:lastModifiedBy>Aayush Madan</cp:lastModifiedBy>
  <dcterms:modified xsi:type="dcterms:W3CDTF">2025-09-10T18:49:11Z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BBD760740A314379860776DBB1CDC0EE_12</vt:lpwstr>
  </property>
</Properties>
</file>